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675005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641350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6"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15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3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3, 2026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LanzaTech Global,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0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40" w:type="dxa"/>
            <w:vAlign w:val="bottom"/>
            <w:gridSpan w:val="3"/>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001-40282</w:t>
            </w: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92-2018969</w:t>
            </w:r>
          </w:p>
        </w:tc>
        <w:tc>
          <w:tcPr>
            <w:tcW w:w="20" w:type="dxa"/>
            <w:vAlign w:val="bottom"/>
          </w:tcPr>
          <w:p>
            <w:pPr>
              <w:spacing w:after="0"/>
              <w:rPr>
                <w:sz w:val="16"/>
                <w:szCs w:val="16"/>
                <w:color w:val="auto"/>
              </w:rPr>
            </w:pPr>
          </w:p>
        </w:tc>
      </w:tr>
      <w:tr>
        <w:trPr>
          <w:trHeight w:val="138"/>
        </w:trPr>
        <w:tc>
          <w:tcPr>
            <w:tcW w:w="36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(State or other jurisdiction</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40" w:type="dxa"/>
            <w:vAlign w:val="bottom"/>
            <w:tcBorders>
              <w:top w:val="single" w:sz="8" w:color="auto"/>
            </w:tcBorders>
            <w:gridSpan w:val="3"/>
          </w:tcPr>
          <w:p>
            <w:pPr>
              <w:jc w:val="center"/>
              <w:ind w:right="280"/>
              <w:spacing w:after="0" w:line="138" w:lineRule="exact"/>
              <w:rPr>
                <w:sz w:val="20"/>
                <w:szCs w:val="20"/>
                <w:color w:val="auto"/>
              </w:rPr>
            </w:pPr>
            <w:r>
              <w:rPr>
                <w:rFonts w:ascii="Times New Roman" w:cs="Times New Roman" w:eastAsia="Times New Roman" w:hAnsi="Times New Roman"/>
                <w:sz w:val="14"/>
                <w:szCs w:val="14"/>
                <w:color w:val="auto"/>
              </w:rPr>
              <w:t>(Commission File Number)</w:t>
            </w:r>
          </w:p>
        </w:tc>
        <w:tc>
          <w:tcPr>
            <w:tcW w:w="80" w:type="dxa"/>
            <w:vAlign w:val="bottom"/>
          </w:tcPr>
          <w:p>
            <w:pPr>
              <w:spacing w:after="0"/>
              <w:rPr>
                <w:sz w:val="11"/>
                <w:szCs w:val="11"/>
                <w:color w:val="auto"/>
              </w:rPr>
            </w:pPr>
          </w:p>
        </w:tc>
        <w:tc>
          <w:tcPr>
            <w:tcW w:w="37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(I.R.S. Employer</w:t>
            </w:r>
          </w:p>
        </w:tc>
        <w:tc>
          <w:tcPr>
            <w:tcW w:w="20" w:type="dxa"/>
            <w:vAlign w:val="bottom"/>
          </w:tcPr>
          <w:p>
            <w:pPr>
              <w:spacing w:after="0"/>
              <w:rPr>
                <w:sz w:val="11"/>
                <w:szCs w:val="11"/>
                <w:color w:val="auto"/>
              </w:rPr>
            </w:pPr>
          </w:p>
        </w:tc>
      </w:tr>
      <w:tr>
        <w:trPr>
          <w:trHeight w:val="184"/>
        </w:trPr>
        <w:tc>
          <w:tcPr>
            <w:tcW w:w="4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c>
          <w:tcPr>
            <w:tcW w:w="20" w:type="dxa"/>
            <w:vAlign w:val="bottom"/>
          </w:tcPr>
          <w:p>
            <w:pPr>
              <w:spacing w:after="0"/>
              <w:rPr>
                <w:sz w:val="16"/>
                <w:szCs w:val="16"/>
                <w:color w:val="auto"/>
              </w:rPr>
            </w:pPr>
          </w:p>
        </w:tc>
      </w:tr>
      <w:tr>
        <w:trPr>
          <w:trHeight w:val="236"/>
        </w:trPr>
        <w:tc>
          <w:tcPr>
            <w:tcW w:w="4040" w:type="dxa"/>
            <w:vAlign w:val="bottom"/>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8045 Lamon Avenue, Suite 400</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6"/>
        </w:trPr>
        <w:tc>
          <w:tcPr>
            <w:tcW w:w="4040" w:type="dxa"/>
            <w:vAlign w:val="bottom"/>
            <w:tcBorders>
              <w:bottom w:val="single" w:sz="8" w:color="auto"/>
            </w:tcBorders>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Skokie, Illinois</w:t>
            </w:r>
          </w:p>
        </w:tc>
        <w:tc>
          <w:tcPr>
            <w:tcW w:w="1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jc w:val="right"/>
              <w:ind w:right="2529"/>
              <w:spacing w:after="0"/>
              <w:rPr>
                <w:sz w:val="20"/>
                <w:szCs w:val="20"/>
                <w:color w:val="auto"/>
              </w:rPr>
            </w:pPr>
            <w:r>
              <w:rPr>
                <w:rFonts w:ascii="Times New Roman" w:cs="Times New Roman" w:eastAsia="Times New Roman" w:hAnsi="Times New Roman"/>
                <w:sz w:val="14"/>
                <w:szCs w:val="14"/>
                <w:color w:val="auto"/>
              </w:rPr>
              <w:t>60077</w:t>
            </w:r>
          </w:p>
        </w:tc>
        <w:tc>
          <w:tcPr>
            <w:tcW w:w="20" w:type="dxa"/>
            <w:vAlign w:val="bottom"/>
            <w:tcBorders>
              <w:bottom w:val="single" w:sz="8" w:color="auto"/>
            </w:tcBorders>
          </w:tcPr>
          <w:p>
            <w:pPr>
              <w:spacing w:after="0"/>
              <w:rPr>
                <w:sz w:val="16"/>
                <w:szCs w:val="16"/>
                <w:color w:val="auto"/>
              </w:rPr>
            </w:pPr>
          </w:p>
        </w:tc>
      </w:tr>
      <w:tr>
        <w:trPr>
          <w:trHeight w:val="184"/>
        </w:trPr>
        <w:tc>
          <w:tcPr>
            <w:tcW w:w="4040" w:type="dxa"/>
            <w:vAlign w:val="bottom"/>
            <w:gridSpan w:val="3"/>
          </w:tcPr>
          <w:p>
            <w:pPr>
              <w:jc w:val="center"/>
              <w:ind w:left="14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ind w:right="1769"/>
              <w:spacing w:after="0"/>
              <w:rPr>
                <w:sz w:val="20"/>
                <w:szCs w:val="20"/>
                <w:color w:val="auto"/>
              </w:rPr>
            </w:pPr>
            <w:r>
              <w:rPr>
                <w:rFonts w:ascii="Times New Roman" w:cs="Times New Roman" w:eastAsia="Times New Roman" w:hAnsi="Times New Roman"/>
                <w:sz w:val="14"/>
                <w:szCs w:val="14"/>
                <w:color w:val="auto"/>
              </w:rPr>
              <w:t>(Zip Code)</w:t>
            </w:r>
          </w:p>
        </w:tc>
        <w:tc>
          <w:tcPr>
            <w:tcW w:w="20" w:type="dxa"/>
            <w:vAlign w:val="bottom"/>
          </w:tcPr>
          <w:p>
            <w:pPr>
              <w:spacing w:after="0"/>
              <w:rPr>
                <w:sz w:val="16"/>
                <w:szCs w:val="16"/>
                <w:color w:val="auto"/>
              </w:rPr>
            </w:pPr>
          </w:p>
        </w:tc>
      </w:tr>
      <w:tr>
        <w:trPr>
          <w:trHeight w:val="226"/>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3"/>
          </w:tcPr>
          <w:p>
            <w:pPr>
              <w:jc w:val="right"/>
              <w:ind w:right="1400"/>
              <w:spacing w:after="0"/>
              <w:rPr>
                <w:sz w:val="20"/>
                <w:szCs w:val="20"/>
                <w:color w:val="auto"/>
              </w:rPr>
            </w:pPr>
            <w:r>
              <w:rPr>
                <w:rFonts w:ascii="Times New Roman" w:cs="Times New Roman" w:eastAsia="Times New Roman" w:hAnsi="Times New Roman"/>
                <w:sz w:val="14"/>
                <w:szCs w:val="14"/>
                <w:color w:val="auto"/>
              </w:rPr>
              <w:t>(847) 324-2400</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274"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63"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74"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Pre-commencements communications pursuant to Rule 13e-4(c) under the Exchange Act (17 CFR 240.13e-4(c))</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4"/>
        </w:trPr>
        <w:tc>
          <w:tcPr>
            <w:tcW w:w="2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$0.0000001 per share</w:t>
            </w:r>
          </w:p>
        </w:tc>
        <w:tc>
          <w:tcPr>
            <w:tcW w:w="10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LNZA</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6"/>
        </w:trPr>
        <w:tc>
          <w:tcPr>
            <w:tcW w:w="20" w:type="dxa"/>
            <w:vAlign w:val="bottom"/>
          </w:tcPr>
          <w:p>
            <w:pPr>
              <w:spacing w:after="0"/>
              <w:rPr>
                <w:sz w:val="16"/>
                <w:szCs w:val="16"/>
                <w:color w:val="auto"/>
              </w:rPr>
            </w:pP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to purchase Common Stock</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92" w:lineRule="exact"/>
        <w:rPr>
          <w:sz w:val="24"/>
          <w:szCs w:val="24"/>
          <w:color w:val="auto"/>
        </w:rPr>
      </w:pPr>
    </w:p>
    <w:p>
      <w:pPr>
        <w:ind w:left="340" w:right="240" w:hanging="321"/>
        <w:spacing w:after="0" w:line="287" w:lineRule="auto"/>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9" w:lineRule="exact"/>
        <w:rPr>
          <w:rFonts w:ascii="MS PGothic" w:cs="MS PGothic" w:eastAsia="MS PGothic" w:hAnsi="MS PGothic"/>
          <w:sz w:val="14"/>
          <w:szCs w:val="14"/>
          <w:color w:val="auto"/>
        </w:rPr>
      </w:pPr>
    </w:p>
    <w:p>
      <w:pPr>
        <w:ind w:left="340" w:right="460" w:hanging="321"/>
        <w:spacing w:after="0" w:line="287" w:lineRule="auto"/>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1214120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222885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202565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3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On June 3, 2026, Beijing Shougang LanzaTech Technology Co., Ltd. (“Shougang LanzaTech”), a joint venture in which LanzaTech Global, Inc. (the “Company”) held an approximately 9.31% equity interest, prior to the offering described below, completed its initial public offering of 40 million H Shares on The Stock Exchange of Hong Kong Limited (the “Hong Kong Stock Exchange”).</w:t>
      </w:r>
    </w:p>
    <w:p>
      <w:pPr>
        <w:spacing w:after="0" w:line="93"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The final offer price was priced at a U.S. dollar equivalent of approximately US$1.86 per H Share, based on the applicable exchange rate, resulting in gross proceeds to Shougang LanzaTech of approximately US$75 million, before deducting offering expenses. Based on the final offer price, upon listing Shougang LanzaTech had an implied market capitalization of approximately US$750 million. Trading of the shares commenced on the Hong Kong Stock Exchange on June 3, 2026 under the stock code “02553”.</w:t>
      </w:r>
    </w:p>
    <w:p>
      <w:pPr>
        <w:spacing w:after="0" w:line="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Shougang LanzaTech operates four commercial facilities utilizing the Company’s carbon recycling technology platform, which converts industrial carbon emissions into fuels and other products. According to information disclosed in Shougang LanzaTech’s initial public offering prospectus, revenue has ranged between approximately US$87 million and US$77 million during the 2023-2025 period.</w:t>
      </w:r>
    </w:p>
    <w:p>
      <w:pPr>
        <w:spacing w:after="0" w:line="9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did not sell any shares in connection with the offering and did not receive any proceeds from the transaction. Following completion of the offering, the Company held, through its subsidiary, 33,520,231 H Shares of Shougang LanzaTech, representing approximately 8.38% of Shougang LanzaTech’s total issued share capital upon listing.</w:t>
      </w:r>
    </w:p>
    <w:p>
      <w:pPr>
        <w:spacing w:after="0" w:line="8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is evaluating whether the transaction has any accounting or financial reporting implications, including any potential impact on the carrying value of its investment under applicable U.S. GAAP. Any such impacts will be reflected in the Company’s future periodic reports, as applicable.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Company’s press release announcing the completion of the initial public offering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42545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500" w:top="887"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780" w:type="dxa"/>
            <w:vAlign w:val="bottom"/>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78"/>
        </w:trPr>
        <w:tc>
          <w:tcPr>
            <w:tcW w:w="780" w:type="dxa"/>
            <w:vAlign w:val="bottom"/>
          </w:tcPr>
          <w:p>
            <w:pPr>
              <w:jc w:val="center"/>
              <w:ind w:right="253"/>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4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LanzaTech Press Release, dated June 03, 2026.</w:t>
            </w:r>
          </w:p>
        </w:tc>
      </w:tr>
      <w:tr>
        <w:trPr>
          <w:trHeight w:val="20"/>
        </w:trPr>
        <w:tc>
          <w:tcPr>
            <w:tcW w:w="78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5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959"/>
          </w:cols>
          <w:pgMar w:left="500" w:top="887" w:right="1440"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676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LANZATECH GLOBAL, INC.</w:t>
            </w:r>
          </w:p>
        </w:tc>
      </w:tr>
      <w:tr>
        <w:trPr>
          <w:trHeight w:val="552"/>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Dated: June 04, 2026</w:t>
            </w: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 Maryann Maas</w:t>
            </w:r>
          </w:p>
        </w:tc>
      </w:tr>
      <w:tr>
        <w:trPr>
          <w:trHeight w:val="149"/>
        </w:trPr>
        <w:tc>
          <w:tcPr>
            <w:tcW w:w="3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r>
      <w:tr>
        <w:trPr>
          <w:trHeight w:val="181"/>
        </w:trPr>
        <w:tc>
          <w:tcPr>
            <w:tcW w:w="3400" w:type="dxa"/>
            <w:vAlign w:val="bottom"/>
          </w:tcPr>
          <w:p>
            <w:pPr>
              <w:spacing w:after="0"/>
              <w:rPr>
                <w:sz w:val="15"/>
                <w:szCs w:val="15"/>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Maryann Maas</w:t>
            </w:r>
          </w:p>
        </w:tc>
      </w:tr>
      <w:tr>
        <w:trPr>
          <w:trHeight w:val="340"/>
        </w:trPr>
        <w:tc>
          <w:tcPr>
            <w:tcW w:w="3400" w:type="dxa"/>
            <w:vAlign w:val="bottom"/>
          </w:tcPr>
          <w:p>
            <w:pPr>
              <w:spacing w:after="0"/>
              <w:rPr>
                <w:sz w:val="24"/>
                <w:szCs w:val="24"/>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General Counsel-Corporate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420"/>
          </w:cols>
          <w:pgMar w:left="880" w:top="1014" w:right="59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2026-06-04T07:06:44Z</dcterms:created>
  <dcterms:modified xsi:type="dcterms:W3CDTF">2026-06-04T07:06:44Z</dcterms:modified>
</cp:coreProperties>
</file>