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9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19, 2025</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001-40282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92-2018969</w:t>
            </w:r>
          </w:p>
        </w:tc>
        <w:tc>
          <w:tcPr>
            <w:tcW w:w="20" w:type="dxa"/>
            <w:vAlign w:val="bottom"/>
          </w:tcPr>
          <w:p>
            <w:pPr>
              <w:spacing w:after="0"/>
              <w:rPr>
                <w:sz w:val="21"/>
                <w:szCs w:val="21"/>
                <w:color w:val="auto"/>
              </w:rPr>
            </w:pPr>
          </w:p>
        </w:tc>
      </w:tr>
      <w:tr>
        <w:trPr>
          <w:trHeight w:val="175"/>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5"/>
                <w:szCs w:val="15"/>
                <w:color w:val="auto"/>
              </w:rPr>
            </w:pPr>
          </w:p>
        </w:tc>
      </w:tr>
      <w:tr>
        <w:trPr>
          <w:trHeight w:val="234"/>
        </w:trPr>
        <w:tc>
          <w:tcPr>
            <w:tcW w:w="44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301"/>
        </w:trPr>
        <w:tc>
          <w:tcPr>
            <w:tcW w:w="44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8045 Lamon Avenue, Suite 400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Skokie, Illinois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60077</w:t>
            </w:r>
          </w:p>
        </w:tc>
        <w:tc>
          <w:tcPr>
            <w:tcW w:w="20" w:type="dxa"/>
            <w:vAlign w:val="bottom"/>
            <w:tcBorders>
              <w:bottom w:val="single" w:sz="8" w:color="auto"/>
            </w:tcBorders>
          </w:tcPr>
          <w:p>
            <w:pPr>
              <w:spacing w:after="0"/>
              <w:rPr>
                <w:sz w:val="20"/>
                <w:szCs w:val="20"/>
                <w:color w:val="auto"/>
              </w:rPr>
            </w:pPr>
          </w:p>
        </w:tc>
      </w:tr>
      <w:tr>
        <w:trPr>
          <w:trHeight w:val="234"/>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28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(847) 324-2400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41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63"/>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$0.0000001 par value</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LNZA</w:t>
            </w:r>
          </w:p>
        </w:tc>
        <w:tc>
          <w:tcPr>
            <w:tcW w:w="8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8"/>
              </w:rPr>
              <w:t>Warrants to purchase common stock</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7" w:lineRule="exact"/>
        <w:rPr>
          <w:sz w:val="24"/>
          <w:szCs w:val="24"/>
          <w:color w:val="auto"/>
        </w:rPr>
      </w:pPr>
    </w:p>
    <w:p>
      <w:pPr>
        <w:ind w:left="360" w:right="18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rFonts w:ascii="MS PGothic" w:cs="MS PGothic" w:eastAsia="MS PGothic" w:hAnsi="MS PGothic"/>
          <w:sz w:val="18"/>
          <w:szCs w:val="18"/>
          <w:color w:val="auto"/>
        </w:rPr>
      </w:pPr>
    </w:p>
    <w:p>
      <w:pPr>
        <w:ind w:left="360" w:right="16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8"/>
        <w:spacing w:after="0"/>
        <w:tabs>
          <w:tab w:leader="none" w:pos="888"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On November 19, 2025, LanzaTech Global, Inc. (the “Company”) issued a press release announcing its financial results for the quarter ended September 30, 2025. A copy of the Company’s press release is attached as Exhibit 99.1 to this Form 8-K.</w:t>
      </w:r>
    </w:p>
    <w:p>
      <w:pPr>
        <w:spacing w:after="0" w:line="108"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(the “Securities Act”) or the Exchange Act, except as shall be expressly set forth by specific reference in such filing.</w:t>
      </w:r>
    </w:p>
    <w:p>
      <w:pPr>
        <w:spacing w:after="0" w:line="200" w:lineRule="exact"/>
        <w:rPr>
          <w:sz w:val="20"/>
          <w:szCs w:val="20"/>
          <w:color w:val="auto"/>
        </w:rPr>
      </w:pPr>
    </w:p>
    <w:p>
      <w:pPr>
        <w:spacing w:after="0" w:line="330" w:lineRule="exact"/>
        <w:rPr>
          <w:sz w:val="20"/>
          <w:szCs w:val="20"/>
          <w:color w:val="auto"/>
        </w:rPr>
      </w:pPr>
    </w:p>
    <w:p>
      <w:pPr>
        <w:ind w:left="8"/>
        <w:spacing w:after="0"/>
        <w:tabs>
          <w:tab w:leader="none" w:pos="888"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388" w:hanging="388"/>
        <w:spacing w:after="0"/>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6"/>
          <w:szCs w:val="16"/>
          <w:b w:val="1"/>
          <w:bCs w:val="1"/>
          <w:color w:val="auto"/>
        </w:rPr>
        <w:t>Exhibit</w:t>
      </w:r>
    </w:p>
    <w:p>
      <w:pPr>
        <w:ind w:left="208"/>
        <w:spacing w:after="0"/>
        <w:tabs>
          <w:tab w:leader="none" w:pos="1128"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066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3" w:lineRule="exact"/>
        <w:rPr>
          <w:sz w:val="20"/>
          <w:szCs w:val="20"/>
          <w:color w:val="auto"/>
        </w:rPr>
      </w:pPr>
    </w:p>
    <w:p>
      <w:pPr>
        <w:ind w:left="348"/>
        <w:spacing w:after="0"/>
        <w:tabs>
          <w:tab w:leader="none" w:pos="1128"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LanzaTech 3Q25 Earnings Press Release, dated November 19, 2025</w:t>
      </w:r>
    </w:p>
    <w:p>
      <w:pPr>
        <w:spacing w:after="0" w:line="27" w:lineRule="exact"/>
        <w:rPr>
          <w:sz w:val="20"/>
          <w:szCs w:val="20"/>
          <w:color w:val="auto"/>
        </w:rPr>
      </w:pPr>
    </w:p>
    <w:p>
      <w:pPr>
        <w:ind w:left="1148" w:hanging="784"/>
        <w:spacing w:after="0"/>
        <w:tabs>
          <w:tab w:leader="none" w:pos="1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2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413" w:right="65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19, 2025</w:t>
      </w:r>
    </w:p>
    <w:p>
      <w:pPr>
        <w:spacing w:after="0" w:line="2" w:lineRule="exact"/>
        <w:rPr>
          <w:sz w:val="20"/>
          <w:szCs w:val="20"/>
          <w:color w:val="auto"/>
        </w:rPr>
      </w:pPr>
    </w:p>
    <w:tbl>
      <w:tblPr>
        <w:tblLayout w:type="fixed"/>
        <w:tblInd w:w="532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Maryann Maas</w:t>
            </w:r>
          </w:p>
        </w:tc>
      </w:tr>
      <w:tr>
        <w:trPr>
          <w:trHeight w:val="218"/>
        </w:trPr>
        <w:tc>
          <w:tcPr>
            <w:tcW w:w="10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Maryann Maas</w:t>
            </w:r>
          </w:p>
        </w:tc>
      </w:tr>
      <w:tr>
        <w:trPr>
          <w:trHeight w:val="234"/>
        </w:trPr>
        <w:tc>
          <w:tcPr>
            <w:tcW w:w="10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17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6050"/>
                    </a:xfrm>
                    <a:prstGeom prst="rect">
                      <a:avLst/>
                    </a:prstGeom>
                    <a:noFill/>
                  </pic:spPr>
                </pic:pic>
              </a:graphicData>
            </a:graphic>
          </wp:anchor>
        </w:drawing>
        <w:t>LanzaTech Reports Third Quarter 2025 Financial Results</w:t>
      </w:r>
    </w:p>
    <w:p>
      <w:pPr>
        <w:spacing w:after="0" w:line="47" w:lineRule="exact"/>
        <w:rPr>
          <w:sz w:val="20"/>
          <w:szCs w:val="20"/>
          <w:color w:val="auto"/>
        </w:rPr>
      </w:pPr>
    </w:p>
    <w:p>
      <w:pPr>
        <w:jc w:val="center"/>
        <w:ind w:right="170"/>
        <w:spacing w:after="0"/>
        <w:rPr>
          <w:sz w:val="20"/>
          <w:szCs w:val="20"/>
          <w:color w:val="auto"/>
        </w:rPr>
      </w:pPr>
      <w:r>
        <w:rPr>
          <w:rFonts w:ascii="Arial" w:cs="Arial" w:eastAsia="Arial" w:hAnsi="Arial"/>
          <w:sz w:val="17"/>
          <w:szCs w:val="17"/>
          <w:i w:val="1"/>
          <w:iCs w:val="1"/>
          <w:color w:val="auto"/>
        </w:rPr>
        <w:t>Continued Focus on Operational Execution and Strategic Transformation</w:t>
      </w:r>
    </w:p>
    <w:p>
      <w:pPr>
        <w:spacing w:after="0" w:line="200" w:lineRule="exact"/>
        <w:rPr>
          <w:sz w:val="20"/>
          <w:szCs w:val="20"/>
          <w:color w:val="auto"/>
        </w:rPr>
      </w:pPr>
    </w:p>
    <w:p>
      <w:pPr>
        <w:spacing w:after="0" w:line="278" w:lineRule="exact"/>
        <w:rPr>
          <w:sz w:val="20"/>
          <w:szCs w:val="20"/>
          <w:color w:val="auto"/>
        </w:rPr>
      </w:pPr>
    </w:p>
    <w:p>
      <w:pPr>
        <w:ind w:left="5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SKOKIE, IL., </w:t>
      </w:r>
      <w:r>
        <w:rPr>
          <w:rFonts w:ascii="Times New Roman" w:cs="Times New Roman" w:eastAsia="Times New Roman" w:hAnsi="Times New Roman"/>
          <w:sz w:val="18"/>
          <w:szCs w:val="18"/>
          <w:color w:val="auto"/>
        </w:rPr>
        <w:t>November 19, 2025 – LanzaTech Global, Inc. (NASDAQ: LNZA) (“LanzaTech” or the “Company”), a carbon management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reported its financial and operating results for the third quarter ended September 30, 2025.</w:t>
      </w:r>
    </w:p>
    <w:p>
      <w:pPr>
        <w:spacing w:after="0" w:line="18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293" w:lineRule="exact"/>
        <w:rPr>
          <w:sz w:val="20"/>
          <w:szCs w:val="20"/>
          <w:color w:val="auto"/>
        </w:rPr>
      </w:pPr>
    </w:p>
    <w:p>
      <w:pPr>
        <w:jc w:val="both"/>
        <w:ind w:left="410" w:right="220" w:hanging="329"/>
        <w:spacing w:after="0" w:line="244" w:lineRule="auto"/>
        <w:tabs>
          <w:tab w:leader="none" w:pos="40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First Commercial Ethanol-to-Jet Plant Operational: </w:t>
      </w:r>
      <w:r>
        <w:rPr>
          <w:rFonts w:ascii="Times New Roman" w:cs="Times New Roman" w:eastAsia="Times New Roman" w:hAnsi="Times New Roman"/>
          <w:sz w:val="18"/>
          <w:szCs w:val="18"/>
          <w:color w:val="auto"/>
        </w:rPr>
        <w:t>In November 2025,</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8"/>
          <w:szCs w:val="18"/>
          <w:color w:val="auto"/>
        </w:rPr>
        <w:t>anzaJet, Inc., a sustainable aviation fuel ("SAF") joint venture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in which the Company has a 36.33% equity interest, began fully operating and producing fuels at its LanzaJet Freedom Pines Fuels facility in Soperton, Georgia, USA – marking both the world’s first production at a commercial-scale plant of jet fuel using ethanol as a feedstock, and the first renewable solution, compatible with today’s aircraft, that does not rely on lipids or oils.</w:t>
      </w:r>
    </w:p>
    <w:p>
      <w:pPr>
        <w:spacing w:after="0" w:line="259" w:lineRule="exact"/>
        <w:rPr>
          <w:rFonts w:ascii="Times New Roman" w:cs="Times New Roman" w:eastAsia="Times New Roman" w:hAnsi="Times New Roman"/>
          <w:sz w:val="22"/>
          <w:szCs w:val="22"/>
          <w:color w:val="auto"/>
        </w:rPr>
      </w:pPr>
    </w:p>
    <w:p>
      <w:pPr>
        <w:jc w:val="both"/>
        <w:ind w:left="410" w:hanging="248"/>
        <w:spacing w:after="0" w:line="244" w:lineRule="auto"/>
        <w:tabs>
          <w:tab w:leader="none" w:pos="405" w:val="left"/>
        </w:tabs>
        <w:numPr>
          <w:ilvl w:val="1"/>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EU Innovation Fund: </w:t>
      </w:r>
      <w:r>
        <w:rPr>
          <w:rFonts w:ascii="Times New Roman" w:cs="Times New Roman" w:eastAsia="Times New Roman" w:hAnsi="Times New Roman"/>
          <w:sz w:val="18"/>
          <w:szCs w:val="18"/>
          <w:color w:val="auto"/>
        </w:rPr>
        <w:t>In November 2025, LanzaTech was awarded a €40 million grant from the European Union’s Innovation Fund,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finalization of the grant agreement expected in the spring of 2026. The project, an integrated CCUS facility in Norway, will feature the first commercial deployment of LanzaTech’s second-generation bioreactor and aims to produce 23.5 kt (~8M U.S. gallons) of ethanol per year by consuming ferroalloy emissions.</w:t>
      </w:r>
    </w:p>
    <w:p>
      <w:pPr>
        <w:spacing w:after="0" w:line="200" w:lineRule="exact"/>
        <w:rPr>
          <w:sz w:val="20"/>
          <w:szCs w:val="20"/>
          <w:color w:val="auto"/>
        </w:rPr>
      </w:pPr>
    </w:p>
    <w:p>
      <w:pPr>
        <w:spacing w:after="0" w:line="26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56" w:lineRule="exact"/>
        <w:rPr>
          <w:sz w:val="20"/>
          <w:szCs w:val="20"/>
          <w:color w:val="auto"/>
        </w:rPr>
      </w:pPr>
    </w:p>
    <w:p>
      <w:pPr>
        <w:ind w:left="690"/>
        <w:spacing w:after="0"/>
        <w:rPr>
          <w:sz w:val="20"/>
          <w:szCs w:val="20"/>
          <w:color w:val="auto"/>
        </w:rPr>
      </w:pPr>
      <w:r>
        <w:rPr>
          <w:rFonts w:ascii="Times New Roman" w:cs="Times New Roman" w:eastAsia="Times New Roman" w:hAnsi="Times New Roman"/>
          <w:sz w:val="18"/>
          <w:szCs w:val="18"/>
          <w:color w:val="auto"/>
        </w:rPr>
        <w:t>The table below outlines key results for the three and nine months ended September 30, 2025 and 2024, respectively:</w:t>
      </w:r>
    </w:p>
    <w:p>
      <w:pPr>
        <w:sectPr>
          <w:pgSz w:w="11900" w:h="16838" w:orient="portrait"/>
          <w:cols w:equalWidth="0" w:num="1">
            <w:col w:w="11070"/>
          </w:cols>
          <w:pgMar w:left="490" w:top="1322" w:right="339" w:bottom="1440" w:gutter="0" w:footer="0" w:header="0"/>
        </w:sectPr>
      </w:pPr>
    </w:p>
    <w:p>
      <w:pPr>
        <w:spacing w:after="0" w:line="304" w:lineRule="exact"/>
        <w:rPr>
          <w:sz w:val="20"/>
          <w:szCs w:val="20"/>
          <w:color w:val="auto"/>
        </w:rPr>
      </w:pPr>
    </w:p>
    <w:p>
      <w:pPr>
        <w:ind w:left="150"/>
        <w:spacing w:after="0"/>
        <w:rPr>
          <w:sz w:val="20"/>
          <w:szCs w:val="20"/>
          <w:color w:val="auto"/>
        </w:rPr>
      </w:pPr>
      <w:r>
        <w:rPr>
          <w:rFonts w:ascii="Times New Roman" w:cs="Times New Roman" w:eastAsia="Times New Roman" w:hAnsi="Times New Roman"/>
          <w:sz w:val="17"/>
          <w:szCs w:val="17"/>
          <w:i w:val="1"/>
          <w:iCs w:val="1"/>
          <w:color w:val="auto"/>
        </w:rPr>
        <w:t>All amounts in millions ($)</w:t>
      </w:r>
    </w:p>
    <w:p>
      <w:pPr>
        <w:spacing w:after="0" w:line="200" w:lineRule="exact"/>
        <w:rPr>
          <w:sz w:val="20"/>
          <w:szCs w:val="20"/>
          <w:color w:val="auto"/>
        </w:rPr>
      </w:pPr>
    </w:p>
    <w:p>
      <w:pPr>
        <w:spacing w:after="0" w:line="228"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8"/>
          <w:szCs w:val="18"/>
          <w:color w:val="auto"/>
        </w:rPr>
        <w:t>Revenue</w:t>
      </w:r>
    </w:p>
    <w:p>
      <w:pPr>
        <w:spacing w:after="0" w:line="195"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p>
      <w:pPr>
        <w:spacing w:after="0" w:line="130"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85"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8"/>
          <w:szCs w:val="18"/>
          <w:color w:val="auto"/>
        </w:rPr>
        <w:t>Net income (loss)</w:t>
      </w:r>
    </w:p>
    <w:p>
      <w:pPr>
        <w:spacing w:after="0" w:line="181" w:lineRule="exact"/>
        <w:rPr>
          <w:sz w:val="20"/>
          <w:szCs w:val="20"/>
          <w:color w:val="auto"/>
        </w:rPr>
      </w:pPr>
    </w:p>
    <w:p>
      <w:pPr>
        <w:ind w:left="70"/>
        <w:spacing w:after="0"/>
        <w:rPr>
          <w:sz w:val="20"/>
          <w:szCs w:val="20"/>
          <w:color w:val="auto"/>
        </w:rPr>
      </w:pPr>
      <w:r>
        <w:rPr>
          <w:rFonts w:ascii="Times New Roman" w:cs="Times New Roman" w:eastAsia="Times New Roman" w:hAnsi="Times New Roman"/>
          <w:sz w:val="18"/>
          <w:szCs w:val="18"/>
          <w:color w:val="auto"/>
        </w:rPr>
        <w:t xml:space="preserve">Adjusted EBITDA loss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28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19"/>
                <w:szCs w:val="19"/>
                <w:color w:val="auto"/>
              </w:rPr>
            </w:pPr>
          </w:p>
        </w:tc>
        <w:tc>
          <w:tcPr>
            <w:tcW w:w="2740" w:type="dxa"/>
            <w:vAlign w:val="bottom"/>
            <w:gridSpan w:val="4"/>
          </w:tcPr>
          <w:p>
            <w:pPr>
              <w:jc w:val="right"/>
              <w:ind w:right="71"/>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43"/>
        </w:trPr>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21"/>
        </w:trPr>
        <w:tc>
          <w:tcPr>
            <w:tcW w:w="100" w:type="dxa"/>
            <w:vAlign w:val="bottom"/>
          </w:tcPr>
          <w:p>
            <w:pPr>
              <w:spacing w:after="0"/>
              <w:rPr>
                <w:sz w:val="19"/>
                <w:szCs w:val="19"/>
                <w:color w:val="auto"/>
              </w:rPr>
            </w:pPr>
          </w:p>
        </w:tc>
        <w:tc>
          <w:tcPr>
            <w:tcW w:w="1280" w:type="dxa"/>
            <w:vAlign w:val="bottom"/>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43"/>
        </w:trPr>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1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391"/>
        </w:trPr>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392"/>
        </w:trPr>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391"/>
        </w:trPr>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39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671"/>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-1208405</wp:posOffset>
            </wp:positionV>
            <wp:extent cx="650621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240030"/>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-719455</wp:posOffset>
            </wp:positionV>
            <wp:extent cx="6506210" cy="248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24828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-222250</wp:posOffset>
            </wp:positionV>
            <wp:extent cx="6506210" cy="248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24828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750" w:space="720"/>
            <w:col w:w="6600"/>
          </w:cols>
          <w:pgMar w:left="490" w:top="1322" w:right="339" w:bottom="1440" w:gutter="0" w:footer="0" w:header="0"/>
          <w:type w:val="continuous"/>
        </w:sectPr>
      </w:pPr>
    </w:p>
    <w:p>
      <w:pPr>
        <w:ind w:left="290" w:hanging="238"/>
        <w:spacing w:after="0"/>
        <w:tabs>
          <w:tab w:leader="none" w:pos="2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Exclusive of depreciation.</w:t>
      </w:r>
    </w:p>
    <w:p>
      <w:pPr>
        <w:spacing w:after="0" w:line="23" w:lineRule="exact"/>
        <w:rPr>
          <w:rFonts w:ascii="Times New Roman" w:cs="Times New Roman" w:eastAsia="Times New Roman" w:hAnsi="Times New Roman"/>
          <w:sz w:val="16"/>
          <w:szCs w:val="16"/>
          <w:color w:val="auto"/>
        </w:rPr>
      </w:pPr>
    </w:p>
    <w:p>
      <w:pPr>
        <w:ind w:left="290" w:hanging="238"/>
        <w:spacing w:after="0"/>
        <w:tabs>
          <w:tab w:leader="none" w:pos="29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“Non-GAAP Financial Measures” and “Reconciliations of GAAP Net Loss to Adjusted EBITDA” sections herein for an explanation and reconciliations of</w:t>
      </w:r>
    </w:p>
    <w:p>
      <w:pPr>
        <w:spacing w:after="0" w:line="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6"/>
          <w:szCs w:val="16"/>
          <w:color w:val="auto"/>
        </w:rPr>
        <w:t>non-GAAP measures used throughout this release.</w:t>
      </w:r>
    </w:p>
    <w:p>
      <w:pPr>
        <w:spacing w:after="0" w:line="200" w:lineRule="exact"/>
        <w:rPr>
          <w:sz w:val="20"/>
          <w:szCs w:val="20"/>
          <w:color w:val="auto"/>
        </w:rPr>
      </w:pPr>
    </w:p>
    <w:p>
      <w:pPr>
        <w:spacing w:after="0" w:line="27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6" w:lineRule="exact"/>
        <w:rPr>
          <w:sz w:val="20"/>
          <w:szCs w:val="20"/>
          <w:color w:val="auto"/>
        </w:rPr>
      </w:pPr>
    </w:p>
    <w:p>
      <w:pPr>
        <w:jc w:val="both"/>
        <w:ind w:left="330" w:right="220" w:hanging="330"/>
        <w:spacing w:after="0" w:line="266" w:lineRule="auto"/>
        <w:tabs>
          <w:tab w:leader="none" w:pos="3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total revenue of $9.3 million in the third quarter of 2025, compared to $9.9 million in the third quarter of 2024. The year-over-year decrease was due to reductions in Joint Development Agreements("JDA") business and a decline in engineering and other services and activity, partially offset by growth from CarbonSmart™ revenue:</w:t>
      </w:r>
    </w:p>
    <w:p>
      <w:pPr>
        <w:spacing w:after="0" w:line="202" w:lineRule="exact"/>
        <w:rPr>
          <w:rFonts w:ascii="Times New Roman" w:cs="Times New Roman" w:eastAsia="Times New Roman" w:hAnsi="Times New Roman"/>
          <w:sz w:val="18"/>
          <w:szCs w:val="18"/>
          <w:color w:val="auto"/>
        </w:rPr>
      </w:pPr>
    </w:p>
    <w:p>
      <w:pPr>
        <w:ind w:left="690" w:right="220" w:hanging="314"/>
        <w:spacing w:after="0" w:line="282" w:lineRule="auto"/>
        <w:tabs>
          <w:tab w:leader="none" w:pos="6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other services revenue in the third quarter of 2025 was $4.0 million, compared to $4.9 million in the third quarter of 2024, due to the completion of projects with existing customers and government entities.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070"/>
          </w:cols>
          <w:pgMar w:left="490" w:top="1322" w:right="339" w:bottom="1440" w:gutter="0" w:footer="0" w:header="0"/>
          <w:type w:val="continuous"/>
        </w:sectPr>
      </w:pPr>
    </w:p>
    <w:bookmarkStart w:id="4" w:name="page5"/>
    <w:bookmarkEnd w:id="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6050"/>
                    </a:xfrm>
                    <a:prstGeom prst="rect">
                      <a:avLst/>
                    </a:prstGeom>
                    <a:noFill/>
                  </pic:spPr>
                </pic:pic>
              </a:graphicData>
            </a:graphic>
          </wp:anchor>
        </w:drawing>
      </w:r>
    </w:p>
    <w:p>
      <w:pPr>
        <w:ind w:left="640" w:right="120" w:hanging="314"/>
        <w:spacing w:after="0" w:line="28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JDA and contract research revenue was $1.2 million in the third quarter of 2025, compared to $1.8 million in the third quarter of 2024, due to the completion of projects with existing customers and the absence of new contracts as a result of workforce reductions.</w:t>
      </w:r>
    </w:p>
    <w:p>
      <w:pPr>
        <w:spacing w:after="0" w:line="188" w:lineRule="exact"/>
        <w:rPr>
          <w:rFonts w:ascii="Times New Roman" w:cs="Times New Roman" w:eastAsia="Times New Roman" w:hAnsi="Times New Roman"/>
          <w:sz w:val="18"/>
          <w:szCs w:val="18"/>
          <w:color w:val="auto"/>
        </w:rPr>
      </w:pPr>
    </w:p>
    <w:p>
      <w:pPr>
        <w:jc w:val="both"/>
        <w:ind w:left="640" w:right="120" w:hanging="314"/>
        <w:spacing w:after="0" w:line="266"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CarbonSmart revenue was $3.0 million in the third quarter of 2025, compared to $2.2 million in the third quarter of 2024. The increase was due to an increased sales volume in CarbonSmart products during the three months ended September 30, 2025 compared to the same period last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56" w:lineRule="exact"/>
        <w:rPr>
          <w:sz w:val="20"/>
          <w:szCs w:val="20"/>
          <w:color w:val="auto"/>
        </w:rPr>
      </w:pPr>
    </w:p>
    <w:p>
      <w:pPr>
        <w:jc w:val="both"/>
        <w:ind w:left="360" w:right="120" w:hanging="323"/>
        <w:spacing w:after="0" w:line="255" w:lineRule="auto"/>
        <w:tabs>
          <w:tab w:leader="none" w:pos="340" w:val="left"/>
        </w:tabs>
        <w:rPr>
          <w:sz w:val="20"/>
          <w:szCs w:val="20"/>
          <w:color w:val="auto"/>
        </w:rPr>
      </w:pPr>
      <w:r>
        <w:rPr>
          <w:rFonts w:ascii="Times New Roman" w:cs="Times New Roman" w:eastAsia="Times New Roman" w:hAnsi="Times New Roman"/>
          <w:sz w:val="18"/>
          <w:szCs w:val="18"/>
          <w:color w:val="auto"/>
        </w:rPr>
        <w:t>•</w:t>
        <w:tab/>
        <w:t>Cost of revenue decreased by $1.2 million, or 15%, in the three months ended September 30, 2025, compared to the same period in 2024. The year-over-year decrease was primarily driven by a $1.2 million reduction in engineering and other service costs associated with the completion of projects for existing customers and government entities, as well as a change in revenue mix related to the increase in CarbonSmart sales, a lower margin business as compared to biorefining and JDA revenues.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w:t>
      </w:r>
    </w:p>
    <w:p>
      <w:pPr>
        <w:spacing w:after="0" w:line="234" w:lineRule="exact"/>
        <w:rPr>
          <w:sz w:val="20"/>
          <w:szCs w:val="20"/>
          <w:color w:val="auto"/>
        </w:rPr>
      </w:pPr>
    </w:p>
    <w:p>
      <w:pPr>
        <w:jc w:val="both"/>
        <w:ind w:left="360" w:right="120" w:hanging="329"/>
        <w:spacing w:after="0" w:line="266" w:lineRule="auto"/>
        <w:tabs>
          <w:tab w:leader="none" w:pos="3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were $18.0 million in the third quarter of 2025, compared to $34.8 million in the third quarter of 2024. The year-over-year decrease was primarily due to a $3.0 million decrease in personnel and contractor expenses related to R&amp;D projects, reflecting headcount reductions implemented during the third quarter of 2025 as part of the Company’s broader cost optimization initiatives.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jc w:val="both"/>
        <w:ind w:left="360" w:right="120" w:hanging="329"/>
        <w:spacing w:after="0" w:line="261" w:lineRule="auto"/>
        <w:tabs>
          <w:tab w:leader="none" w:pos="3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2025 was $2.9 million, compared to a $57.4 million net loss in the same period last year. Net income increased year-over-year primarily as a result of a $38.1 million non-cash gain on financial instruments recognized in the third quarter of 2025. In addition, the operating expenses decreased by $16.5 million during the third quarter of 2025 compared to the same period last year, due to headcount reductions implemented as part of the Company’s broader cost optimization initiative.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p>
      <w:pPr>
        <w:spacing w:after="0" w:line="256" w:lineRule="exact"/>
        <w:rPr>
          <w:sz w:val="20"/>
          <w:szCs w:val="20"/>
          <w:color w:val="auto"/>
        </w:rPr>
      </w:pPr>
    </w:p>
    <w:p>
      <w:pPr>
        <w:jc w:val="both"/>
        <w:ind w:left="360" w:right="120" w:hanging="329"/>
        <w:spacing w:after="0" w:line="261" w:lineRule="auto"/>
        <w:tabs>
          <w:tab w:leader="none" w:pos="3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was $13.5 million in the third quarter of 2025, compared to $27.1 million in the same period last year. The decrease in Adjusted EBITDA loss year-over-year was primarily attributable to lower selling, general and administrative expenses as a result of cost optimization efforts, along with lower revenue and higher cost of sales period-over-period. While expected to reduce long-term expenses, short-term restructuring costs were impacted during the quarter ended September 30,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56" w:lineRule="exact"/>
        <w:rPr>
          <w:sz w:val="20"/>
          <w:szCs w:val="20"/>
          <w:color w:val="auto"/>
        </w:rPr>
      </w:pPr>
    </w:p>
    <w:p>
      <w:pPr>
        <w:jc w:val="both"/>
        <w:ind w:left="360" w:right="120" w:hanging="329"/>
        <w:spacing w:after="0" w:line="266" w:lineRule="auto"/>
        <w:tabs>
          <w:tab w:leader="none" w:pos="3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the Company had $23.5 million in total cash, restricted cash, and investments, compared to total cash of $39.6 million as of June 30, 2025. The decrease reflects continued use of cash to fund operating activities, timing of receipts from customers and government projects, and limited inflows from new funding 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has been a year of disciplined transformation. By aligning our structure to the realities of the market and focusing on the highest-value paths— especially the growing demand for SAF—we believe that we’ve strengthened our position and regained momentum, said Dr. Jennifer Holmgren, Board Chair and CEO of LanzaTech. “SAF is a practical and important outlet for the ethanol we produce, and we believe we’ve adjusted the business so we can focus on that opportunity more directly, provided we obtain the necessary capital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20"/>
          </w:cols>
          <w:pgMar w:left="540" w:top="144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5415"/>
                    </a:xfrm>
                    <a:prstGeom prst="rect">
                      <a:avLst/>
                    </a:prstGeom>
                    <a:noFill/>
                  </pic:spPr>
                </pic:pic>
              </a:graphicData>
            </a:graphic>
          </wp:anchor>
        </w:drawing>
        <w:t>About LanzaTech</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LanzaTech (NASDAQ: LNZA) is a leader in carbon management, using its proprietary gas-fermentation platform to transform waste carbon into valuable products. Through global partnerships, LanzaTech enables the production of feedstocks for high-value markets including SAF and chemicals. Headquartered in the U.S., the company provides technology and commercial pathways that strengthen industrial resilience and unlock new economic value from carbon.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among other things, the plans, strategies and prospects, both business and financial, of the Company. These statements are based on the beliefs and assumptions of the Company’s management.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similar expressions. The forward-looking statements are based on projections prepared by, and are the responsibility of, the Company’s management. 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including the Company's ability to continue to operate as a going concern; the Company's ability to consummate the transactions contemplated by the Series A Convertible Senior Preferred Stock Purchase Agreement, dated May 7, 2025, as amended; delays or interruptions in government contract awards, funding cycles or agency operations (including due to a government shutdown) that could postpone project milestones and defer related revenue recognition; the Company's ability to attract new investors and raise substantial additional financing to fund its operations and/or execute on its other strategic options; the Company's ability to maintain the listing of the Nasdaq Stock Market LLC; the Company's ability to execute on its business strategy and achieve profitability; and the Company's ability to attract, reatin and motivate qualified personnel. The Company may be adversely affected by other economic, business, or competitive factors, and other risks and uncertainties, including those described under the header “Risk Factors” in its Form 10-K for the year ended December 31, 2024, its Form 10-Q for the quarter ended March 31, 2025, June 30, 2025 and September 30, 2025 and in future SEC filings. New risk factors that may affect actual results or outcomes emerge from time to time and it is not possible to predict all such risk factors, nor can the Company assess the impact of all such risk factors on its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EBITDA as our net loss, excluding the impact of depreciation, interest income, net, stock-based compensation expense, change in fair value of warrant liabilities, loss on the Brookfield SAFE extinguishment, change in fair value of the Brookfield SAFE and the Brookfield Loan liabilities (net of interest accretion reversal), change in fair value of the FPA Put Option liability and Fixed Maturity Consideration, change in fair value of the Convertible Note, change in fair value of the PIPE Warrant and loss from equity method investees, net. We monitor and have presented in this earnings press release Adjusted EBITDA because it is a key measure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00"/>
          </w:cols>
          <w:pgMar w:left="540" w:top="1089" w:right="55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5415"/>
                    </a:xfrm>
                    <a:prstGeom prst="rect">
                      <a:avLst/>
                    </a:prstGeom>
                    <a:noFill/>
                  </pic:spPr>
                </pic:pic>
              </a:graphicData>
            </a:graphic>
          </wp:anchor>
        </w:drawing>
        <w:t>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gain or losses on equity method investee; and (iv) excludes certain income or expense items that do not provide a comparable measure of our business performance. In addition, the expenses and other items that we exclude in our calculations of Adjusted EBITDA may differ from the expenses 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00"/>
          </w:cols>
          <w:pgMar w:left="540" w:top="1093" w:right="5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43"/>
        </w:trPr>
        <w:tc>
          <w:tcPr>
            <w:tcW w:w="77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43"/>
        </w:trPr>
        <w:tc>
          <w:tcPr>
            <w:tcW w:w="7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43,499</w:t>
            </w:r>
          </w:p>
        </w:tc>
        <w:tc>
          <w:tcPr>
            <w:tcW w:w="0" w:type="dxa"/>
            <w:vAlign w:val="bottom"/>
          </w:tcPr>
          <w:p>
            <w:pPr>
              <w:spacing w:after="0"/>
              <w:rPr>
                <w:sz w:val="1"/>
                <w:szCs w:val="1"/>
                <w:color w:val="auto"/>
              </w:rPr>
            </w:pPr>
          </w:p>
        </w:tc>
      </w:tr>
      <w:tr>
        <w:trPr>
          <w:trHeight w:val="257"/>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Held-to-maturity investment securities</w:t>
            </w:r>
          </w:p>
        </w:tc>
        <w:tc>
          <w:tcPr>
            <w:tcW w:w="22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Trade and other receivables, net of allowance</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57"/>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0" w:type="dxa"/>
            <w:vAlign w:val="bottom"/>
          </w:tcPr>
          <w:p>
            <w:pPr>
              <w:spacing w:after="0"/>
              <w:rPr>
                <w:sz w:val="1"/>
                <w:szCs w:val="1"/>
                <w:color w:val="auto"/>
              </w:rPr>
            </w:pPr>
          </w:p>
        </w:tc>
      </w:tr>
      <w:tr>
        <w:trPr>
          <w:trHeight w:val="237"/>
        </w:trPr>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99,334</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22,333</w:t>
            </w: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security investment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0" w:type="dxa"/>
            <w:vAlign w:val="bottom"/>
          </w:tcPr>
          <w:p>
            <w:pPr>
              <w:spacing w:after="0"/>
              <w:rPr>
                <w:sz w:val="1"/>
                <w:szCs w:val="1"/>
                <w:color w:val="auto"/>
              </w:rPr>
            </w:pPr>
          </w:p>
        </w:tc>
      </w:tr>
      <w:tr>
        <w:trPr>
          <w:trHeight w:val="237"/>
        </w:trPr>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174,683</w:t>
            </w: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Liabilities, Mezzanine Equity and Shareholders’ Equity/(Deficit)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0" w:type="dxa"/>
            <w:vAlign w:val="bottom"/>
          </w:tcPr>
          <w:p>
            <w:pPr>
              <w:spacing w:after="0"/>
              <w:rPr>
                <w:sz w:val="1"/>
                <w:szCs w:val="1"/>
                <w:color w:val="auto"/>
              </w:rPr>
            </w:pPr>
          </w:p>
        </w:tc>
      </w:tr>
      <w:tr>
        <w:trPr>
          <w:trHeight w:val="257"/>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57"/>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Fixed Maturity Consideration and current FPA Put Option liability</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57"/>
        </w:trPr>
        <w:tc>
          <w:tcPr>
            <w:tcW w:w="7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30,447</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30,619</w:t>
            </w: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FPA Put Option liability</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Brookfield SAFE liability</w:t>
            </w:r>
          </w:p>
        </w:tc>
        <w:tc>
          <w:tcPr>
            <w:tcW w:w="22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Brookfield Loan liability</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Convertible Note</w:t>
            </w:r>
          </w:p>
        </w:tc>
        <w:tc>
          <w:tcPr>
            <w:tcW w:w="220" w:type="dxa"/>
            <w:vAlign w:val="bottom"/>
          </w:tcPr>
          <w:p>
            <w:pPr>
              <w:spacing w:after="0"/>
              <w:rPr>
                <w:sz w:val="22"/>
                <w:szCs w:val="22"/>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51,112</w:t>
            </w:r>
          </w:p>
        </w:tc>
        <w:tc>
          <w:tcPr>
            <w:tcW w:w="0" w:type="dxa"/>
            <w:vAlign w:val="bottom"/>
          </w:tcPr>
          <w:p>
            <w:pPr>
              <w:spacing w:after="0"/>
              <w:rPr>
                <w:sz w:val="1"/>
                <w:szCs w:val="1"/>
                <w:color w:val="auto"/>
              </w:rPr>
            </w:pPr>
          </w:p>
        </w:tc>
      </w:tr>
      <w:tr>
        <w:trPr>
          <w:trHeight w:val="40"/>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7"/>
        </w:trPr>
        <w:tc>
          <w:tcPr>
            <w:tcW w:w="7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161,236</w:t>
            </w:r>
          </w:p>
        </w:tc>
        <w:tc>
          <w:tcPr>
            <w:tcW w:w="0" w:type="dxa"/>
            <w:vAlign w:val="bottom"/>
          </w:tcPr>
          <w:p>
            <w:pPr>
              <w:spacing w:after="0"/>
              <w:rPr>
                <w:sz w:val="1"/>
                <w:szCs w:val="1"/>
                <w:color w:val="auto"/>
              </w:rPr>
            </w:pPr>
          </w:p>
        </w:tc>
      </w:tr>
      <w:tr>
        <w:trPr>
          <w:trHeight w:val="40"/>
        </w:trPr>
        <w:tc>
          <w:tcPr>
            <w:tcW w:w="7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Mezzanine Equity</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Convertible preferred stock, $0.0001 par value; 20,000,000 shares authorized as of September 30, 2025 and</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2024; 20,000,000 and no shares issued and outstanding as of September 30, 2025 and December 31,</w:t>
            </w:r>
          </w:p>
        </w:tc>
        <w:tc>
          <w:tcPr>
            <w:tcW w:w="22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2024, respectively</w:t>
            </w: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Preferred stock - additional paid-in capital</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mezzanine equity</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7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Shareholders’ Equity/(Deficit)</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$0.0000001 par value, 25,800,000 shares authorized as of September 30, 2025 and December 31,</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2024; 2,319,960 and 1,949,157 shares issued and outstanding as of September 30, 2025 and December 31, 2024,</w:t>
            </w:r>
          </w:p>
        </w:tc>
        <w:tc>
          <w:tcPr>
            <w:tcW w:w="22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2"/>
        </w:trPr>
        <w:tc>
          <w:tcPr>
            <w:tcW w:w="7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respectively (1)</w:t>
            </w: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1,011,901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981,638</w:t>
            </w:r>
          </w:p>
        </w:tc>
        <w:tc>
          <w:tcPr>
            <w:tcW w:w="0" w:type="dxa"/>
            <w:vAlign w:val="bottom"/>
          </w:tcPr>
          <w:p>
            <w:pPr>
              <w:spacing w:after="0"/>
              <w:rPr>
                <w:sz w:val="1"/>
                <w:szCs w:val="1"/>
                <w:color w:val="auto"/>
              </w:rPr>
            </w:pPr>
          </w:p>
        </w:tc>
      </w:tr>
      <w:tr>
        <w:trPr>
          <w:trHeight w:val="25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(1,018,470)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(969,603)</w:t>
            </w:r>
          </w:p>
        </w:tc>
        <w:tc>
          <w:tcPr>
            <w:tcW w:w="0" w:type="dxa"/>
            <w:vAlign w:val="bottom"/>
          </w:tcPr>
          <w:p>
            <w:pPr>
              <w:spacing w:after="0"/>
              <w:rPr>
                <w:sz w:val="1"/>
                <w:szCs w:val="1"/>
                <w:color w:val="auto"/>
              </w:rPr>
            </w:pPr>
          </w:p>
        </w:tc>
      </w:tr>
      <w:tr>
        <w:trPr>
          <w:trHeight w:val="23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shareholders’ equity/(deficit)</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0" w:type="dxa"/>
            <w:vAlign w:val="bottom"/>
          </w:tcPr>
          <w:p>
            <w:pPr>
              <w:spacing w:after="0"/>
              <w:rPr>
                <w:sz w:val="1"/>
                <w:szCs w:val="1"/>
                <w:color w:val="auto"/>
              </w:rPr>
            </w:pPr>
          </w:p>
        </w:tc>
      </w:tr>
      <w:tr>
        <w:trPr>
          <w:trHeight w:val="41"/>
        </w:trPr>
        <w:tc>
          <w:tcPr>
            <w:tcW w:w="7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7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mezzanine equity and shareholders' equity/(deficit)</w:t>
            </w:r>
          </w:p>
        </w:tc>
        <w:tc>
          <w:tcPr>
            <w:tcW w:w="2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ectPr>
          <w:pgSz w:w="11900" w:h="16838" w:orient="portrait"/>
          <w:cols w:equalWidth="0" w:num="1">
            <w:col w:w="11240"/>
          </w:cols>
          <w:pgMar w:left="320" w:top="757" w:right="339" w:bottom="0" w:gutter="0" w:footer="0" w:header="0"/>
        </w:sectPr>
      </w:pPr>
    </w:p>
    <w:p>
      <w:pPr>
        <w:ind w:left="180" w:right="220" w:hanging="161"/>
        <w:spacing w:after="0" w:line="297" w:lineRule="auto"/>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auto"/>
        </w:rPr>
        <w:t>1) All common stock share and per share data for all periods presented have been retroactively adjusted to reflect the 1-for-100 reverse stock split of the Company’s common stock</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and the decrease in the par value of the Company’s common stock from $0.0001 to $0.0000001 per share which became effective on August 18, 2025.</w:t>
      </w:r>
    </w:p>
    <w:p>
      <w:pPr>
        <w:sectPr>
          <w:pgSz w:w="11900" w:h="16838" w:orient="portrait"/>
          <w:cols w:equalWidth="0" w:num="1">
            <w:col w:w="11240"/>
          </w:cols>
          <w:pgMar w:left="320" w:top="757" w:right="339" w:bottom="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9019"/>
          </w:cols>
          <w:pgMar w:left="1440" w:top="266"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628"/>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47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29"/>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ind w:right="428"/>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29"/>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428"/>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43"/>
        </w:trPr>
        <w:tc>
          <w:tcPr>
            <w:tcW w:w="47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Contracts with customers and grants</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80" w:type="dxa"/>
            <w:vAlign w:val="bottom"/>
          </w:tcPr>
          <w:p>
            <w:pPr>
              <w:spacing w:after="0"/>
              <w:rPr>
                <w:sz w:val="23"/>
                <w:szCs w:val="23"/>
                <w:color w:val="auto"/>
              </w:rPr>
            </w:pPr>
          </w:p>
        </w:tc>
        <w:tc>
          <w:tcPr>
            <w:tcW w:w="500" w:type="dxa"/>
            <w:vAlign w:val="bottom"/>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23"/>
                <w:szCs w:val="23"/>
                <w:color w:val="auto"/>
              </w:rPr>
            </w:pP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00" w:type="dxa"/>
            <w:vAlign w:val="bottom"/>
          </w:tcPr>
          <w:p>
            <w:pPr>
              <w:spacing w:after="0"/>
              <w:rPr>
                <w:sz w:val="23"/>
                <w:szCs w:val="23"/>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CarbonSmart product sales</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Collaborative arrangements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11,399</w:t>
            </w:r>
          </w:p>
        </w:tc>
        <w:tc>
          <w:tcPr>
            <w:tcW w:w="0" w:type="dxa"/>
            <w:vAlign w:val="bottom"/>
          </w:tcPr>
          <w:p>
            <w:pPr>
              <w:spacing w:after="0"/>
              <w:rPr>
                <w:sz w:val="1"/>
                <w:szCs w:val="1"/>
                <w:color w:val="auto"/>
              </w:rPr>
            </w:pPr>
          </w:p>
        </w:tc>
      </w:tr>
      <w:tr>
        <w:trPr>
          <w:trHeight w:val="265"/>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8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with customers and grants</w:t>
            </w:r>
            <w:r>
              <w:rPr>
                <w:rFonts w:ascii="Times New Roman" w:cs="Times New Roman" w:eastAsia="Times New Roman" w:hAnsi="Times New Roman"/>
                <w:sz w:val="28"/>
                <w:szCs w:val="28"/>
                <w:color w:val="auto"/>
                <w:vertAlign w:val="superscript"/>
              </w:rPr>
              <w:t>(1)</w:t>
            </w: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0" w:type="dxa"/>
            <w:vAlign w:val="bottom"/>
          </w:tcPr>
          <w:p>
            <w:pPr>
              <w:spacing w:after="0"/>
              <w:rPr>
                <w:sz w:val="1"/>
                <w:szCs w:val="1"/>
                <w:color w:val="auto"/>
              </w:rPr>
            </w:pPr>
          </w:p>
        </w:tc>
      </w:tr>
      <w:tr>
        <w:trPr>
          <w:trHeight w:val="56"/>
        </w:trPr>
        <w:tc>
          <w:tcPr>
            <w:tcW w:w="4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CarbonSmart product sales</w:t>
            </w:r>
            <w:r>
              <w:rPr>
                <w:rFonts w:ascii="Times New Roman" w:cs="Times New Roman" w:eastAsia="Times New Roman" w:hAnsi="Times New Roman"/>
                <w:sz w:val="28"/>
                <w:szCs w:val="28"/>
                <w:color w:val="auto"/>
                <w:vertAlign w:val="superscript"/>
              </w:rPr>
              <w:t>(1)</w:t>
            </w:r>
          </w:p>
        </w:tc>
        <w:tc>
          <w:tcPr>
            <w:tcW w:w="32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61"/>
        </w:trPr>
        <w:tc>
          <w:tcPr>
            <w:tcW w:w="47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Collaborative arrangements</w:t>
            </w:r>
            <w:r>
              <w:rPr>
                <w:rFonts w:ascii="Times New Roman" w:cs="Times New Roman" w:eastAsia="Times New Roman" w:hAnsi="Times New Roman"/>
                <w:sz w:val="28"/>
                <w:szCs w:val="28"/>
                <w:color w:val="auto"/>
                <w:vertAlign w:val="superscript"/>
              </w:rPr>
              <w:t>(1)</w:t>
            </w:r>
          </w:p>
        </w:tc>
        <w:tc>
          <w:tcPr>
            <w:tcW w:w="3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56"/>
        </w:trPr>
        <w:tc>
          <w:tcPr>
            <w:tcW w:w="4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transactions</w:t>
            </w:r>
            <w:r>
              <w:rPr>
                <w:rFonts w:ascii="Times New Roman" w:cs="Times New Roman" w:eastAsia="Times New Roman" w:hAnsi="Times New Roman"/>
                <w:sz w:val="28"/>
                <w:szCs w:val="28"/>
                <w:color w:val="auto"/>
                <w:vertAlign w:val="superscript"/>
              </w:rPr>
              <w:t>(1)</w:t>
            </w:r>
          </w:p>
        </w:tc>
        <w:tc>
          <w:tcPr>
            <w:tcW w:w="32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61"/>
        </w:trPr>
        <w:tc>
          <w:tcPr>
            <w:tcW w:w="476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0" w:type="dxa"/>
            <w:vAlign w:val="bottom"/>
          </w:tcPr>
          <w:p>
            <w:pPr>
              <w:spacing w:after="0"/>
              <w:rPr>
                <w:sz w:val="1"/>
                <w:szCs w:val="1"/>
                <w:color w:val="auto"/>
              </w:rPr>
            </w:pPr>
          </w:p>
        </w:tc>
      </w:tr>
      <w:tr>
        <w:trPr>
          <w:trHeight w:val="25"/>
        </w:trPr>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119,475</w:t>
            </w:r>
          </w:p>
        </w:tc>
        <w:tc>
          <w:tcPr>
            <w:tcW w:w="0" w:type="dxa"/>
            <w:vAlign w:val="bottom"/>
          </w:tcPr>
          <w:p>
            <w:pPr>
              <w:spacing w:after="0"/>
              <w:rPr>
                <w:sz w:val="1"/>
                <w:szCs w:val="1"/>
                <w:color w:val="auto"/>
              </w:rPr>
            </w:pPr>
          </w:p>
        </w:tc>
      </w:tr>
      <w:tr>
        <w:trPr>
          <w:trHeight w:val="26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8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(32,957)</w:t>
            </w: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(78,951)</w:t>
            </w: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(81,913)</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0" w:type="dxa"/>
            <w:vAlign w:val="bottom"/>
          </w:tcPr>
          <w:p>
            <w:pPr>
              <w:spacing w:after="0"/>
              <w:rPr>
                <w:sz w:val="1"/>
                <w:szCs w:val="1"/>
                <w:color w:val="auto"/>
              </w:rPr>
            </w:pPr>
          </w:p>
        </w:tc>
      </w:tr>
      <w:tr>
        <w:trPr>
          <w:trHeight w:val="265"/>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8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40,103</w:t>
            </w:r>
          </w:p>
        </w:tc>
        <w:tc>
          <w:tcPr>
            <w:tcW w:w="10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(20,890)</w:t>
            </w: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8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(48,867)</w:t>
            </w:r>
          </w:p>
        </w:tc>
        <w:tc>
          <w:tcPr>
            <w:tcW w:w="10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credit risk of fair value instruments</w:t>
            </w:r>
          </w:p>
        </w:tc>
        <w:tc>
          <w:tcPr>
            <w:tcW w:w="3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2"/>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5"/>
        </w:trPr>
        <w:tc>
          <w:tcPr>
            <w:tcW w:w="4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3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25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32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spacing w:after="0"/>
              <w:rPr>
                <w:sz w:val="21"/>
                <w:szCs w:val="21"/>
                <w:color w:val="auto"/>
              </w:rPr>
            </w:pPr>
          </w:p>
        </w:tc>
        <w:tc>
          <w:tcPr>
            <w:tcW w:w="50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0600"/>
          </w:cols>
          <w:pgMar w:left="640" w:top="919" w:right="659" w:bottom="752" w:gutter="0" w:footer="0" w:header="0"/>
        </w:sectPr>
      </w:pPr>
    </w:p>
    <w:p>
      <w:pPr>
        <w:ind w:left="20" w:right="380"/>
        <w:spacing w:after="0" w:line="295" w:lineRule="auto"/>
        <w:rPr>
          <w:sz w:val="20"/>
          <w:szCs w:val="20"/>
          <w:color w:val="auto"/>
        </w:rPr>
      </w:pPr>
      <w:r>
        <w:rPr>
          <w:rFonts w:ascii="Times New Roman" w:cs="Times New Roman" w:eastAsia="Times New Roman" w:hAnsi="Times New Roman"/>
          <w:sz w:val="18"/>
          <w:szCs w:val="18"/>
          <w:color w:val="auto"/>
        </w:rPr>
        <w:t>Weighted-average number of common shares outstanding - basic</w:t>
      </w:r>
      <w:r>
        <w:rPr>
          <w:rFonts w:ascii="Times New Roman" w:cs="Times New Roman" w:eastAsia="Times New Roman" w:hAnsi="Times New Roman"/>
          <w:sz w:val="23"/>
          <w:szCs w:val="23"/>
          <w:color w:val="auto"/>
          <w:vertAlign w:val="superscript"/>
        </w:rPr>
        <w:t>(2)</w:t>
      </w:r>
    </w:p>
    <w:p>
      <w:pPr>
        <w:spacing w:after="0" w:line="68" w:lineRule="exact"/>
        <w:rPr>
          <w:sz w:val="20"/>
          <w:szCs w:val="20"/>
          <w:color w:val="auto"/>
        </w:rPr>
      </w:pPr>
    </w:p>
    <w:p>
      <w:pPr>
        <w:ind w:left="20" w:right="380"/>
        <w:spacing w:after="0" w:line="295" w:lineRule="auto"/>
        <w:rPr>
          <w:sz w:val="20"/>
          <w:szCs w:val="20"/>
          <w:color w:val="auto"/>
        </w:rPr>
      </w:pPr>
      <w:r>
        <w:rPr>
          <w:rFonts w:ascii="Times New Roman" w:cs="Times New Roman" w:eastAsia="Times New Roman" w:hAnsi="Times New Roman"/>
          <w:sz w:val="18"/>
          <w:szCs w:val="18"/>
          <w:color w:val="auto"/>
        </w:rPr>
        <w:t>Weighted-average number of common shares outstanding - diluted</w:t>
      </w:r>
      <w:r>
        <w:rPr>
          <w:rFonts w:ascii="Times New Roman" w:cs="Times New Roman" w:eastAsia="Times New Roman" w:hAnsi="Times New Roman"/>
          <w:sz w:val="23"/>
          <w:szCs w:val="23"/>
          <w:color w:val="auto"/>
          <w:vertAlign w:val="superscript"/>
        </w:rPr>
        <w:t>(2)</w:t>
      </w:r>
    </w:p>
    <w:p>
      <w:pPr>
        <w:spacing w:after="0" w:line="232" w:lineRule="exact"/>
        <w:rPr>
          <w:sz w:val="20"/>
          <w:szCs w:val="20"/>
          <w:color w:val="auto"/>
        </w:rPr>
      </w:pPr>
    </w:p>
    <w:p>
      <w:pPr>
        <w:ind w:left="20"/>
        <w:spacing w:after="0"/>
        <w:tabs>
          <w:tab w:leader="none" w:pos="300" w:val="left"/>
        </w:tabs>
        <w:rPr>
          <w:sz w:val="20"/>
          <w:szCs w:val="20"/>
          <w:color w:val="auto"/>
        </w:rPr>
      </w:pPr>
      <w:r>
        <w:rPr>
          <w:rFonts w:ascii="Times New Roman" w:cs="Times New Roman" w:eastAsia="Times New Roman" w:hAnsi="Times New Roman"/>
          <w:sz w:val="15"/>
          <w:szCs w:val="15"/>
          <w:color w:val="auto"/>
        </w:rPr>
        <w:t>(1)</w:t>
        <w:tab/>
        <w:t>exclusive of depreciation</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tabs>
          <w:tab w:leader="none" w:pos="1460" w:val="left"/>
          <w:tab w:leader="none" w:pos="2960" w:val="left"/>
          <w:tab w:leader="none" w:pos="4440" w:val="left"/>
        </w:tabs>
        <w:rPr>
          <w:sz w:val="20"/>
          <w:szCs w:val="20"/>
          <w:color w:val="auto"/>
        </w:rPr>
      </w:pPr>
      <w:r>
        <w:rPr>
          <w:rFonts w:ascii="Times New Roman" w:cs="Times New Roman" w:eastAsia="Times New Roman" w:hAnsi="Times New Roman"/>
          <w:sz w:val="18"/>
          <w:szCs w:val="18"/>
          <w:color w:val="auto"/>
        </w:rPr>
        <w:t>2,320,018</w:t>
      </w:r>
      <w:r>
        <w:rPr>
          <w:sz w:val="20"/>
          <w:szCs w:val="20"/>
          <w:color w:val="auto"/>
        </w:rPr>
        <w:tab/>
      </w:r>
      <w:r>
        <w:rPr>
          <w:rFonts w:ascii="Times New Roman" w:cs="Times New Roman" w:eastAsia="Times New Roman" w:hAnsi="Times New Roman"/>
          <w:sz w:val="18"/>
          <w:szCs w:val="18"/>
          <w:color w:val="auto"/>
        </w:rPr>
        <w:t>1,977,734</w:t>
      </w:r>
      <w:r>
        <w:rPr>
          <w:sz w:val="20"/>
          <w:szCs w:val="20"/>
          <w:color w:val="auto"/>
        </w:rPr>
        <w:tab/>
      </w:r>
      <w:r>
        <w:rPr>
          <w:rFonts w:ascii="Times New Roman" w:cs="Times New Roman" w:eastAsia="Times New Roman" w:hAnsi="Times New Roman"/>
          <w:sz w:val="18"/>
          <w:szCs w:val="18"/>
          <w:color w:val="auto"/>
        </w:rPr>
        <w:t>2,156,721</w:t>
      </w:r>
      <w:r>
        <w:rPr>
          <w:sz w:val="20"/>
          <w:szCs w:val="20"/>
          <w:color w:val="auto"/>
        </w:rPr>
        <w:tab/>
      </w:r>
      <w:r>
        <w:rPr>
          <w:rFonts w:ascii="Times New Roman" w:cs="Times New Roman" w:eastAsia="Times New Roman" w:hAnsi="Times New Roman"/>
          <w:sz w:val="18"/>
          <w:szCs w:val="18"/>
          <w:color w:val="auto"/>
        </w:rPr>
        <w:t>1,974,992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43180</wp:posOffset>
            </wp:positionV>
            <wp:extent cx="673798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7985" cy="42862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460" w:val="left"/>
          <w:tab w:leader="none" w:pos="2960" w:val="left"/>
          <w:tab w:leader="none" w:pos="4440" w:val="left"/>
        </w:tabs>
        <w:rPr>
          <w:sz w:val="20"/>
          <w:szCs w:val="20"/>
          <w:color w:val="auto"/>
        </w:rPr>
      </w:pPr>
      <w:r>
        <w:rPr>
          <w:rFonts w:ascii="Times New Roman" w:cs="Times New Roman" w:eastAsia="Times New Roman" w:hAnsi="Times New Roman"/>
          <w:sz w:val="18"/>
          <w:szCs w:val="18"/>
          <w:color w:val="auto"/>
        </w:rPr>
        <w:t>2,663,193</w:t>
      </w:r>
      <w:r>
        <w:rPr>
          <w:sz w:val="20"/>
          <w:szCs w:val="20"/>
          <w:color w:val="auto"/>
        </w:rPr>
        <w:tab/>
      </w:r>
      <w:r>
        <w:rPr>
          <w:rFonts w:ascii="Times New Roman" w:cs="Times New Roman" w:eastAsia="Times New Roman" w:hAnsi="Times New Roman"/>
          <w:sz w:val="18"/>
          <w:szCs w:val="18"/>
          <w:color w:val="auto"/>
        </w:rPr>
        <w:t>1,977,734</w:t>
      </w:r>
      <w:r>
        <w:rPr>
          <w:sz w:val="20"/>
          <w:szCs w:val="20"/>
          <w:color w:val="auto"/>
        </w:rPr>
        <w:tab/>
      </w:r>
      <w:r>
        <w:rPr>
          <w:rFonts w:ascii="Times New Roman" w:cs="Times New Roman" w:eastAsia="Times New Roman" w:hAnsi="Times New Roman"/>
          <w:sz w:val="18"/>
          <w:szCs w:val="18"/>
          <w:color w:val="auto"/>
        </w:rPr>
        <w:t>2,156,721</w:t>
      </w:r>
      <w:r>
        <w:rPr>
          <w:sz w:val="20"/>
          <w:szCs w:val="20"/>
          <w:color w:val="auto"/>
        </w:rPr>
        <w:tab/>
      </w:r>
      <w:r>
        <w:rPr>
          <w:rFonts w:ascii="Times New Roman" w:cs="Times New Roman" w:eastAsia="Times New Roman" w:hAnsi="Times New Roman"/>
          <w:sz w:val="18"/>
          <w:szCs w:val="18"/>
          <w:color w:val="auto"/>
        </w:rPr>
        <w:t>1,974,992</w:t>
      </w:r>
    </w:p>
    <w:p>
      <w:pPr>
        <w:spacing w:after="0" w:line="537" w:lineRule="exact"/>
        <w:rPr>
          <w:sz w:val="20"/>
          <w:szCs w:val="20"/>
          <w:color w:val="auto"/>
        </w:rPr>
      </w:pPr>
    </w:p>
    <w:p>
      <w:pPr>
        <w:sectPr>
          <w:pgSz w:w="11900" w:h="16838" w:orient="portrait"/>
          <w:cols w:equalWidth="0" w:num="2">
            <w:col w:w="4640" w:space="720"/>
            <w:col w:w="5240"/>
          </w:cols>
          <w:pgMar w:left="640" w:top="919" w:right="659" w:bottom="752" w:gutter="0" w:footer="0" w:header="0"/>
          <w:type w:val="continuous"/>
        </w:sectPr>
      </w:pPr>
    </w:p>
    <w:p>
      <w:pPr>
        <w:ind w:left="340" w:right="120" w:hanging="328"/>
        <w:spacing w:after="0" w:line="280" w:lineRule="auto"/>
        <w:tabs>
          <w:tab w:leader="none" w:pos="329"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common stock share and per share data for all periods presented have been retroactively adjusted to reflect the 1-for-100 reverse stock split of the Company’s common stock and the decrease in the par value of the Company’s common stock from $0.0001 to $0.0000001 per share which became effective on August 18, 2025.</w:t>
      </w:r>
    </w:p>
    <w:p>
      <w:pPr>
        <w:sectPr>
          <w:pgSz w:w="11900" w:h="16838" w:orient="portrait"/>
          <w:cols w:equalWidth="0" w:num="1">
            <w:col w:w="10600"/>
          </w:cols>
          <w:pgMar w:left="640" w:top="919" w:right="659" w:bottom="7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600"/>
          </w:cols>
          <w:pgMar w:left="640" w:top="919" w:right="659" w:bottom="752"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4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1"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40005</wp:posOffset>
            </wp:positionV>
            <wp:extent cx="2202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(48,867)</w:t>
            </w:r>
          </w:p>
        </w:tc>
        <w:tc>
          <w:tcPr>
            <w:tcW w:w="10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(110,738)</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9,739</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Gain on change in fair value of SAFE and warrant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(20,609)</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on change in fair value of the Brookfield Loan</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Loss on change in fair value of the Amended Brookfield Loan</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on Brookfield SAFE extinguishment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Loss on change in fair value of the FPA Put Option and current FPA Put Option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23,511</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21,572</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Gain on change in fair value of PIPE Warrant liability</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Gain on partial lease termination</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Provisions for losses on trade and other receivables, net of recoveries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Amortization of discount on debt security investment</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Non-cash lease expense</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Non-cash recognition of licensing revenue</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(10,385)</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Loss from equity method investees, net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w:t>
            </w:r>
          </w:p>
        </w:tc>
      </w:tr>
      <w:tr>
        <w:trPr>
          <w:trHeight w:val="42"/>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Unrealized Loss on net foreign exchange</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(2,902)</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Contract assets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9,269</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interest on debt investment</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assets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(2,156)</w:t>
            </w:r>
          </w:p>
        </w:tc>
      </w:tr>
      <w:tr>
        <w:trPr>
          <w:trHeight w:val="42"/>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 and accrued salaries and wages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Contract liabilities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41"/>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liabilities</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(69,384)</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2"/>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(3,557)</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debt securities</w:t>
            </w:r>
          </w:p>
        </w:tc>
        <w:tc>
          <w:tcPr>
            <w:tcW w:w="10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(27,083)</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maturity of debt securities</w:t>
            </w:r>
          </w:p>
        </w:tc>
        <w:tc>
          <w:tcPr>
            <w:tcW w:w="10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44,770</w:t>
            </w:r>
          </w:p>
        </w:tc>
      </w:tr>
      <w:tr>
        <w:trPr>
          <w:trHeight w:val="221"/>
        </w:trPr>
        <w:tc>
          <w:tcPr>
            <w:tcW w:w="7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10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14,130</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costs related to preferred stock</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issue of equity instruments of the Company</w:t>
            </w:r>
          </w:p>
        </w:tc>
        <w:tc>
          <w:tcPr>
            <w:tcW w:w="10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43"/>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Convertible Note, net</w:t>
            </w:r>
          </w:p>
        </w:tc>
        <w:tc>
          <w:tcPr>
            <w:tcW w:w="1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equity instruments of the Company</w:t>
            </w:r>
          </w:p>
        </w:tc>
        <w:tc>
          <w:tcPr>
            <w:tcW w:w="10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
        </w:trPr>
        <w:tc>
          <w:tcPr>
            <w:tcW w:w="7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Partial settlement of the Brookfield Loan</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PIPE Warrant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40,224</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Effects of currency translation on cash, cash equivalents and restricted cash</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(15,317)</w:t>
            </w: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76,284</w:t>
            </w:r>
          </w:p>
        </w:tc>
      </w:tr>
      <w:tr>
        <w:trPr>
          <w:trHeight w:val="43"/>
        </w:trPr>
        <w:tc>
          <w:tcPr>
            <w:tcW w:w="77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82"/>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60,967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62" w:right="339" w:bottom="231"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019"/>
          </w:cols>
          <w:pgMar w:left="1440" w:top="253"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page">
              <wp:posOffset>5137150</wp:posOffset>
            </wp:positionH>
            <wp:positionV relativeFrom="page">
              <wp:posOffset>620395</wp:posOffset>
            </wp:positionV>
            <wp:extent cx="220281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2815" cy="34290"/>
                    </a:xfrm>
                    <a:prstGeom prst="rect">
                      <a:avLst/>
                    </a:prstGeom>
                    <a:noFill/>
                  </pic:spPr>
                </pic:pic>
              </a:graphicData>
            </a:graphic>
          </wp:anchor>
        </w:drawing>
        <w:t>Supplemental disclosure of non-cash investing and financing activities: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 of property, plant and equipment under accounts payable</w:t>
            </w:r>
          </w:p>
        </w:tc>
        <w:tc>
          <w:tcPr>
            <w:tcW w:w="33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
        </w:trPr>
        <w:tc>
          <w:tcPr>
            <w:tcW w:w="67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 additions</w:t>
            </w:r>
          </w:p>
        </w:tc>
        <w:tc>
          <w:tcPr>
            <w:tcW w:w="33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the Brookfield SAFE</w:t>
            </w:r>
          </w:p>
        </w:tc>
        <w:tc>
          <w:tcPr>
            <w:tcW w:w="33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13,274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Brookfield Loan</w:t>
            </w:r>
          </w:p>
        </w:tc>
        <w:tc>
          <w:tcPr>
            <w:tcW w:w="33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(19,490)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Extinguishment of the Amended Brookfield Loan</w:t>
            </w:r>
          </w:p>
        </w:tc>
        <w:tc>
          <w:tcPr>
            <w:tcW w:w="33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12,300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the Amended Brookfield Loan</w:t>
            </w:r>
          </w:p>
        </w:tc>
        <w:tc>
          <w:tcPr>
            <w:tcW w:w="332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(12,300)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Cashless issuance of equity for Convertible Notes</w:t>
            </w:r>
          </w:p>
        </w:tc>
        <w:tc>
          <w:tcPr>
            <w:tcW w:w="33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8,132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7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change in lease liability on partial termination</w:t>
            </w:r>
          </w:p>
        </w:tc>
        <w:tc>
          <w:tcPr>
            <w:tcW w:w="33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13,025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change in ROU assets on partial termination</w:t>
            </w:r>
          </w:p>
        </w:tc>
        <w:tc>
          <w:tcPr>
            <w:tcW w:w="3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(13,085)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234" w:right="339" w:bottom="1440" w:gutter="0" w:footer="0" w:header="0"/>
        </w:sectPr>
      </w:pPr>
    </w:p>
    <w:bookmarkStart w:id="13" w:name="page14"/>
    <w:bookmarkEnd w:id="13"/>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Reconciliation of Net Loss to Adjusted EBITDA</w:t>
      </w:r>
    </w:p>
    <w:p>
      <w:pPr>
        <w:spacing w:after="0" w:line="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660" w:type="dxa"/>
            <w:vAlign w:val="bottom"/>
            <w:gridSpan w:val="4"/>
          </w:tcPr>
          <w:p>
            <w:pPr>
              <w:jc w:val="right"/>
              <w:ind w:right="69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6"/>
        </w:trPr>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4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43"/>
        </w:trPr>
        <w:tc>
          <w:tcPr>
            <w:tcW w:w="4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(110,738)</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and change in fair value of</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0" w:type="dxa"/>
            <w:vAlign w:val="bottom"/>
          </w:tcPr>
          <w:p>
            <w:pPr>
              <w:spacing w:after="0"/>
              <w:rPr>
                <w:sz w:val="1"/>
                <w:szCs w:val="1"/>
                <w:color w:val="auto"/>
              </w:rPr>
            </w:pPr>
          </w:p>
        </w:tc>
      </w:tr>
      <w:tr>
        <w:trPr>
          <w:trHeight w:val="31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Brookfield SAFE and warrant liabilities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Brookfield SAFE extinguishment</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the FPA Put Option and Fixed Maturity</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liabilities (net of interest accretion reversal)</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w:t>
            </w: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PIPE Warrant</w:t>
            </w:r>
          </w:p>
        </w:tc>
        <w:tc>
          <w:tcPr>
            <w:tcW w:w="3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the Brookfield Loan</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the Amended Brookfield Loan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0" w:type="dxa"/>
            <w:vAlign w:val="bottom"/>
          </w:tcPr>
          <w:p>
            <w:pPr>
              <w:spacing w:after="0"/>
              <w:rPr>
                <w:sz w:val="1"/>
                <w:szCs w:val="1"/>
                <w:color w:val="auto"/>
              </w:rPr>
            </w:pPr>
          </w:p>
        </w:tc>
      </w:tr>
      <w:tr>
        <w:trPr>
          <w:trHeight w:val="27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tcPr>
          <w:p>
            <w:pPr>
              <w:spacing w:after="0"/>
              <w:rPr>
                <w:sz w:val="23"/>
                <w:szCs w:val="23"/>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(27,081)</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(73,707)</w:t>
            </w:r>
          </w:p>
        </w:tc>
        <w:tc>
          <w:tcPr>
            <w:tcW w:w="100" w:type="dxa"/>
            <w:vAlign w:val="bottom"/>
          </w:tcPr>
          <w:p>
            <w:pPr>
              <w:spacing w:after="0"/>
              <w:rPr>
                <w:sz w:val="23"/>
                <w:szCs w:val="23"/>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Stock-based compensation expense represents expense related to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investors@lanzatech.com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Relations/Media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Freya Burton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63C1"/>
        </w:rPr>
        <w:t>freya@lanzatech.com</w:t>
      </w:r>
    </w:p>
    <w:p>
      <w:pPr>
        <w:sectPr>
          <w:pgSz w:w="11900" w:h="16838" w:orient="portrait"/>
          <w:cols w:equalWidth="0" w:num="1">
            <w:col w:w="11000"/>
          </w:cols>
          <w:pgMar w:left="320" w:top="108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9</w:t>
      </w:r>
    </w:p>
    <w:sectPr>
      <w:pgSz w:w="11900" w:h="16838" w:orient="portrait"/>
      <w:cols w:equalWidth="0" w:num="1">
        <w:col w:w="11000"/>
      </w:cols>
      <w:pgMar w:left="320" w:top="108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1"/>
      <w:numFmt w:val="decimal"/>
      <w:start w:val="104"/>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2025-11-19T16:22:17Z</dcterms:created>
  <dcterms:modified xsi:type="dcterms:W3CDTF">2025-11-19T16:22:17Z</dcterms:modified>
</cp:coreProperties>
</file>