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3, 2021</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AMCI ACQUISITION CORP. II</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2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Delaware</w:t>
            </w:r>
          </w:p>
        </w:tc>
        <w:tc>
          <w:tcPr>
            <w:tcW w:w="54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001-40282</w:t>
            </w:r>
          </w:p>
        </w:tc>
        <w:tc>
          <w:tcPr>
            <w:tcW w:w="166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86-1763050</w:t>
            </w:r>
          </w:p>
        </w:tc>
      </w:tr>
      <w:tr>
        <w:trPr>
          <w:trHeight w:val="216"/>
        </w:trPr>
        <w:tc>
          <w:tcPr>
            <w:tcW w:w="2080" w:type="dxa"/>
            <w:vAlign w:val="bottom"/>
          </w:tcPr>
          <w:p>
            <w:pPr>
              <w:jc w:val="center"/>
              <w:ind w:right="90"/>
              <w:spacing w:after="0"/>
              <w:rPr>
                <w:sz w:val="20"/>
                <w:szCs w:val="20"/>
                <w:color w:val="auto"/>
              </w:rPr>
            </w:pPr>
            <w:r>
              <w:rPr>
                <w:rFonts w:ascii="Arial" w:cs="Arial" w:eastAsia="Arial" w:hAnsi="Arial"/>
                <w:sz w:val="18"/>
                <w:szCs w:val="18"/>
                <w:color w:val="auto"/>
                <w:w w:val="92"/>
              </w:rPr>
              <w:t>(State or other jurisdiction</w:t>
            </w:r>
          </w:p>
        </w:tc>
        <w:tc>
          <w:tcPr>
            <w:tcW w:w="5400" w:type="dxa"/>
            <w:vAlign w:val="bottom"/>
          </w:tcPr>
          <w:p>
            <w:pPr>
              <w:jc w:val="center"/>
              <w:ind w:right="50"/>
              <w:spacing w:after="0"/>
              <w:rPr>
                <w:sz w:val="20"/>
                <w:szCs w:val="20"/>
                <w:color w:val="auto"/>
              </w:rPr>
            </w:pPr>
            <w:r>
              <w:rPr>
                <w:rFonts w:ascii="Arial" w:cs="Arial" w:eastAsia="Arial" w:hAnsi="Arial"/>
                <w:sz w:val="18"/>
                <w:szCs w:val="18"/>
                <w:color w:val="auto"/>
                <w:w w:val="93"/>
              </w:rPr>
              <w:t>(Commission</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3"/>
              </w:rPr>
              <w:t>(IRS Employer</w:t>
            </w:r>
          </w:p>
        </w:tc>
      </w:tr>
      <w:tr>
        <w:trPr>
          <w:trHeight w:val="212"/>
        </w:trPr>
        <w:tc>
          <w:tcPr>
            <w:tcW w:w="2080" w:type="dxa"/>
            <w:vAlign w:val="bottom"/>
          </w:tcPr>
          <w:p>
            <w:pPr>
              <w:jc w:val="center"/>
              <w:ind w:right="90"/>
              <w:spacing w:after="0"/>
              <w:rPr>
                <w:sz w:val="20"/>
                <w:szCs w:val="20"/>
                <w:color w:val="auto"/>
              </w:rPr>
            </w:pPr>
            <w:r>
              <w:rPr>
                <w:rFonts w:ascii="Arial" w:cs="Arial" w:eastAsia="Arial" w:hAnsi="Arial"/>
                <w:sz w:val="18"/>
                <w:szCs w:val="18"/>
                <w:color w:val="auto"/>
                <w:w w:val="93"/>
              </w:rPr>
              <w:t>of incorporation)</w:t>
            </w:r>
          </w:p>
        </w:tc>
        <w:tc>
          <w:tcPr>
            <w:tcW w:w="5400" w:type="dxa"/>
            <w:vAlign w:val="bottom"/>
          </w:tcPr>
          <w:p>
            <w:pPr>
              <w:jc w:val="center"/>
              <w:ind w:right="5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216"/>
        </w:trPr>
        <w:tc>
          <w:tcPr>
            <w:tcW w:w="2080" w:type="dxa"/>
            <w:vAlign w:val="bottom"/>
          </w:tcPr>
          <w:p>
            <w:pPr>
              <w:spacing w:after="0"/>
              <w:rPr>
                <w:sz w:val="18"/>
                <w:szCs w:val="18"/>
                <w:color w:val="auto"/>
              </w:rPr>
            </w:pPr>
          </w:p>
        </w:tc>
        <w:tc>
          <w:tcPr>
            <w:tcW w:w="5400" w:type="dxa"/>
            <w:vAlign w:val="bottom"/>
          </w:tcPr>
          <w:p>
            <w:pPr>
              <w:ind w:left="1800"/>
              <w:spacing w:after="0"/>
              <w:rPr>
                <w:sz w:val="20"/>
                <w:szCs w:val="20"/>
                <w:color w:val="auto"/>
              </w:rPr>
            </w:pPr>
            <w:r>
              <w:rPr>
                <w:rFonts w:ascii="Arial" w:cs="Arial" w:eastAsia="Arial" w:hAnsi="Arial"/>
                <w:sz w:val="18"/>
                <w:szCs w:val="18"/>
                <w:b w:val="1"/>
                <w:bCs w:val="1"/>
                <w:color w:val="auto"/>
              </w:rPr>
              <w:t>600 Steamboat Road</w:t>
            </w:r>
          </w:p>
        </w:tc>
        <w:tc>
          <w:tcPr>
            <w:tcW w:w="1660" w:type="dxa"/>
            <w:vAlign w:val="bottom"/>
          </w:tcPr>
          <w:p>
            <w:pPr>
              <w:spacing w:after="0"/>
              <w:rPr>
                <w:sz w:val="18"/>
                <w:szCs w:val="18"/>
                <w:color w:val="auto"/>
              </w:rPr>
            </w:pPr>
          </w:p>
        </w:tc>
      </w:tr>
      <w:tr>
        <w:trPr>
          <w:trHeight w:val="220"/>
        </w:trPr>
        <w:tc>
          <w:tcPr>
            <w:tcW w:w="2080" w:type="dxa"/>
            <w:vAlign w:val="bottom"/>
          </w:tcPr>
          <w:p>
            <w:pPr>
              <w:spacing w:after="0"/>
              <w:rPr>
                <w:sz w:val="19"/>
                <w:szCs w:val="19"/>
                <w:color w:val="auto"/>
              </w:rPr>
            </w:pPr>
          </w:p>
        </w:tc>
        <w:tc>
          <w:tcPr>
            <w:tcW w:w="54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Greenwich, Connecticut 06830</w:t>
            </w:r>
          </w:p>
        </w:tc>
        <w:tc>
          <w:tcPr>
            <w:tcW w:w="1660" w:type="dxa"/>
            <w:vAlign w:val="bottom"/>
          </w:tcPr>
          <w:p>
            <w:pPr>
              <w:spacing w:after="0"/>
              <w:rPr>
                <w:sz w:val="19"/>
                <w:szCs w:val="19"/>
                <w:color w:val="auto"/>
              </w:rPr>
            </w:pPr>
          </w:p>
        </w:tc>
      </w:tr>
      <w:tr>
        <w:trPr>
          <w:trHeight w:val="230"/>
        </w:trPr>
        <w:tc>
          <w:tcPr>
            <w:tcW w:w="2080" w:type="dxa"/>
            <w:vAlign w:val="bottom"/>
          </w:tcPr>
          <w:p>
            <w:pPr>
              <w:spacing w:after="0"/>
              <w:rPr>
                <w:sz w:val="20"/>
                <w:szCs w:val="20"/>
                <w:color w:val="auto"/>
              </w:rPr>
            </w:pPr>
          </w:p>
        </w:tc>
        <w:tc>
          <w:tcPr>
            <w:tcW w:w="540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660" w:type="dxa"/>
            <w:vAlign w:val="bottom"/>
          </w:tcPr>
          <w:p>
            <w:pPr>
              <w:spacing w:after="0"/>
              <w:rPr>
                <w:sz w:val="20"/>
                <w:szCs w:val="20"/>
                <w:color w:val="auto"/>
              </w:rPr>
            </w:pPr>
          </w:p>
        </w:tc>
      </w:tr>
      <w:tr>
        <w:trPr>
          <w:trHeight w:val="432"/>
        </w:trPr>
        <w:tc>
          <w:tcPr>
            <w:tcW w:w="2080" w:type="dxa"/>
            <w:vAlign w:val="bottom"/>
          </w:tcPr>
          <w:p>
            <w:pPr>
              <w:spacing w:after="0"/>
              <w:rPr>
                <w:sz w:val="24"/>
                <w:szCs w:val="24"/>
                <w:color w:val="auto"/>
              </w:rPr>
            </w:pPr>
          </w:p>
        </w:tc>
        <w:tc>
          <w:tcPr>
            <w:tcW w:w="5400" w:type="dxa"/>
            <w:vAlign w:val="bottom"/>
          </w:tcPr>
          <w:p>
            <w:pPr>
              <w:jc w:val="center"/>
              <w:ind w:right="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(203) 625-9200</w:t>
            </w:r>
          </w:p>
        </w:tc>
        <w:tc>
          <w:tcPr>
            <w:tcW w:w="1660" w:type="dxa"/>
            <w:vAlign w:val="bottom"/>
          </w:tcPr>
          <w:p>
            <w:pPr>
              <w:spacing w:after="0"/>
              <w:rPr>
                <w:sz w:val="24"/>
                <w:szCs w:val="24"/>
                <w:color w:val="auto"/>
              </w:rPr>
            </w:pPr>
          </w:p>
        </w:tc>
      </w:tr>
      <w:tr>
        <w:trPr>
          <w:trHeight w:val="418"/>
        </w:trPr>
        <w:tc>
          <w:tcPr>
            <w:tcW w:w="2080" w:type="dxa"/>
            <w:vAlign w:val="bottom"/>
          </w:tcPr>
          <w:p>
            <w:pPr>
              <w:spacing w:after="0"/>
              <w:rPr>
                <w:sz w:val="24"/>
                <w:szCs w:val="24"/>
                <w:color w:val="auto"/>
              </w:rPr>
            </w:pPr>
          </w:p>
        </w:tc>
        <w:tc>
          <w:tcPr>
            <w:tcW w:w="54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Not Applicable</w:t>
            </w:r>
          </w:p>
        </w:tc>
        <w:tc>
          <w:tcPr>
            <w:tcW w:w="1660" w:type="dxa"/>
            <w:vAlign w:val="bottom"/>
          </w:tcPr>
          <w:p>
            <w:pPr>
              <w:spacing w:after="0"/>
              <w:rPr>
                <w:sz w:val="24"/>
                <w:szCs w:val="24"/>
                <w:color w:val="auto"/>
              </w:rPr>
            </w:pPr>
          </w:p>
        </w:tc>
      </w:tr>
      <w:tr>
        <w:trPr>
          <w:trHeight w:val="230"/>
        </w:trPr>
        <w:tc>
          <w:tcPr>
            <w:tcW w:w="2080" w:type="dxa"/>
            <w:vAlign w:val="bottom"/>
          </w:tcPr>
          <w:p>
            <w:pPr>
              <w:spacing w:after="0"/>
              <w:rPr>
                <w:sz w:val="20"/>
                <w:szCs w:val="20"/>
                <w:color w:val="auto"/>
              </w:rPr>
            </w:pPr>
          </w:p>
        </w:tc>
        <w:tc>
          <w:tcPr>
            <w:tcW w:w="5400" w:type="dxa"/>
            <w:vAlign w:val="bottom"/>
          </w:tcPr>
          <w:p>
            <w:pPr>
              <w:jc w:val="center"/>
              <w:ind w:right="5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660" w:type="dxa"/>
            <w:vAlign w:val="bottom"/>
          </w:tcPr>
          <w:p>
            <w:pPr>
              <w:spacing w:after="0"/>
              <w:rPr>
                <w:sz w:val="20"/>
                <w:szCs w:val="20"/>
                <w:color w:val="auto"/>
              </w:rPr>
            </w:pPr>
          </w:p>
        </w:tc>
      </w:tr>
    </w:tbl>
    <w:p>
      <w:pPr>
        <w:spacing w:after="0" w:line="202"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660" w:hanging="64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660" w:hanging="64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4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4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7940" w:type="dxa"/>
            <w:vAlign w:val="bottom"/>
            <w:gridSpan w:val="5"/>
          </w:tcPr>
          <w:p>
            <w:pPr>
              <w:ind w:left="3560"/>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3300" w:type="dxa"/>
            <w:vAlign w:val="bottom"/>
          </w:tcPr>
          <w:p>
            <w:pPr>
              <w:spacing w:after="0"/>
              <w:rPr>
                <w:sz w:val="18"/>
                <w:szCs w:val="18"/>
                <w:color w:val="auto"/>
              </w:rPr>
            </w:pPr>
          </w:p>
        </w:tc>
      </w:tr>
      <w:tr>
        <w:trPr>
          <w:trHeight w:val="216"/>
        </w:trPr>
        <w:tc>
          <w:tcPr>
            <w:tcW w:w="5520" w:type="dxa"/>
            <w:vAlign w:val="bottom"/>
            <w:gridSpan w:val="2"/>
          </w:tcPr>
          <w:p>
            <w:pPr>
              <w:ind w:left="2040"/>
              <w:spacing w:after="0"/>
              <w:rPr>
                <w:sz w:val="20"/>
                <w:szCs w:val="20"/>
                <w:color w:val="auto"/>
              </w:rPr>
            </w:pPr>
            <w:r>
              <w:rPr>
                <w:rFonts w:ascii="Arial" w:cs="Arial" w:eastAsia="Arial" w:hAnsi="Arial"/>
                <w:sz w:val="18"/>
                <w:szCs w:val="18"/>
                <w:b w:val="1"/>
                <w:bCs w:val="1"/>
                <w:color w:val="auto"/>
              </w:rPr>
              <w:t>Title of each class</w:t>
            </w:r>
          </w:p>
        </w:tc>
        <w:tc>
          <w:tcPr>
            <w:tcW w:w="24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Trading Symbol(s)</w:t>
            </w:r>
          </w:p>
        </w:tc>
        <w:tc>
          <w:tcPr>
            <w:tcW w:w="330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5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5400" w:type="dxa"/>
            <w:vAlign w:val="bottom"/>
          </w:tcPr>
          <w:p>
            <w:pPr>
              <w:ind w:left="20"/>
              <w:spacing w:after="0" w:line="195" w:lineRule="exact"/>
              <w:rPr>
                <w:sz w:val="20"/>
                <w:szCs w:val="20"/>
                <w:color w:val="auto"/>
              </w:rPr>
            </w:pPr>
            <w:r>
              <w:rPr>
                <w:rFonts w:ascii="Arial" w:cs="Arial" w:eastAsia="Arial" w:hAnsi="Arial"/>
                <w:sz w:val="18"/>
                <w:szCs w:val="18"/>
                <w:color w:val="auto"/>
                <w:w w:val="90"/>
              </w:rPr>
              <w:t>Units, each consisting of one share of Class A common stock and one-half</w:t>
            </w:r>
          </w:p>
        </w:tc>
        <w:tc>
          <w:tcPr>
            <w:tcW w:w="120" w:type="dxa"/>
            <w:vAlign w:val="bottom"/>
          </w:tcPr>
          <w:p>
            <w:pPr>
              <w:spacing w:after="0"/>
              <w:rPr>
                <w:sz w:val="16"/>
                <w:szCs w:val="16"/>
                <w:color w:val="auto"/>
              </w:rPr>
            </w:pPr>
          </w:p>
        </w:tc>
        <w:tc>
          <w:tcPr>
            <w:tcW w:w="2020" w:type="dxa"/>
            <w:vAlign w:val="bottom"/>
          </w:tcPr>
          <w:p>
            <w:pPr>
              <w:jc w:val="center"/>
              <w:spacing w:after="0" w:line="195" w:lineRule="exact"/>
              <w:rPr>
                <w:sz w:val="20"/>
                <w:szCs w:val="20"/>
                <w:color w:val="auto"/>
              </w:rPr>
            </w:pPr>
            <w:r>
              <w:rPr>
                <w:rFonts w:ascii="Arial" w:cs="Arial" w:eastAsia="Arial" w:hAnsi="Arial"/>
                <w:sz w:val="18"/>
                <w:szCs w:val="18"/>
                <w:color w:val="auto"/>
              </w:rPr>
              <w:t>AMCIU</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00" w:type="dxa"/>
            <w:vAlign w:val="bottom"/>
          </w:tcPr>
          <w:p>
            <w:pPr>
              <w:jc w:val="center"/>
              <w:ind w:right="190"/>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of one redeemable warrant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6"/>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Class A common stock, par value $0.0001 per share</w:t>
            </w:r>
          </w:p>
        </w:tc>
        <w:tc>
          <w:tcPr>
            <w:tcW w:w="2420" w:type="dxa"/>
            <w:vAlign w:val="bottom"/>
            <w:gridSpan w:val="3"/>
          </w:tcPr>
          <w:p>
            <w:pPr>
              <w:jc w:val="center"/>
              <w:ind w:right="380"/>
              <w:spacing w:after="0"/>
              <w:rPr>
                <w:sz w:val="20"/>
                <w:szCs w:val="20"/>
                <w:color w:val="auto"/>
              </w:rPr>
            </w:pPr>
            <w:r>
              <w:rPr>
                <w:rFonts w:ascii="Arial" w:cs="Arial" w:eastAsia="Arial" w:hAnsi="Arial"/>
                <w:sz w:val="18"/>
                <w:szCs w:val="18"/>
                <w:color w:val="auto"/>
              </w:rPr>
              <w:t>AMCI</w:t>
            </w:r>
          </w:p>
        </w:tc>
        <w:tc>
          <w:tcPr>
            <w:tcW w:w="3300" w:type="dxa"/>
            <w:vAlign w:val="bottom"/>
          </w:tcPr>
          <w:p>
            <w:pPr>
              <w:jc w:val="center"/>
              <w:ind w:right="190"/>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Warrants, each whole warrant exercisable for one share of Class A</w:t>
            </w:r>
          </w:p>
        </w:tc>
        <w:tc>
          <w:tcPr>
            <w:tcW w:w="2420" w:type="dxa"/>
            <w:vAlign w:val="bottom"/>
            <w:gridSpan w:val="3"/>
          </w:tcPr>
          <w:p>
            <w:pPr>
              <w:jc w:val="center"/>
              <w:ind w:right="380"/>
              <w:spacing w:after="0"/>
              <w:rPr>
                <w:sz w:val="20"/>
                <w:szCs w:val="20"/>
                <w:color w:val="auto"/>
              </w:rPr>
            </w:pPr>
            <w:r>
              <w:rPr>
                <w:rFonts w:ascii="Arial" w:cs="Arial" w:eastAsia="Arial" w:hAnsi="Arial"/>
                <w:sz w:val="18"/>
                <w:szCs w:val="18"/>
                <w:color w:val="auto"/>
              </w:rPr>
              <w:t>AMCIW</w:t>
            </w:r>
          </w:p>
        </w:tc>
        <w:tc>
          <w:tcPr>
            <w:tcW w:w="3300" w:type="dxa"/>
            <w:vAlign w:val="bottom"/>
          </w:tcPr>
          <w:p>
            <w:pPr>
              <w:jc w:val="center"/>
              <w:ind w:right="19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common stock, each at an exercise price of $11.50 per share</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211D1E"/>
        </w:rPr>
        <w:t>Item 1.01.</w:t>
      </w:r>
      <w:r>
        <w:rPr>
          <w:sz w:val="20"/>
          <w:szCs w:val="20"/>
          <w:color w:val="auto"/>
        </w:rPr>
        <w:tab/>
      </w:r>
      <w:r>
        <w:rPr>
          <w:rFonts w:ascii="Arial" w:cs="Arial" w:eastAsia="Arial" w:hAnsi="Arial"/>
          <w:sz w:val="16"/>
          <w:szCs w:val="16"/>
          <w:b w:val="1"/>
          <w:bCs w:val="1"/>
          <w:color w:val="211D1E"/>
        </w:rPr>
        <w:t>Entry into a Material Definitive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6, 2021, AMCI Acquisition Corp. II (the “Company”) consummated its initial public offering (“IPO”) of 15,000,000 units (the “Units”). Each Unit consists of one share of Class A common stock of the Company, par value $0.0001 per share (the “Class A Common Stock”), and one-half of one redeemable warrant of the Company (“Warrant”), with each whole Warrant entitling the holder thereof to purchase one share of Class A Common Stock for $11.50 per share, subject to adjustment. The Units were sold at a price of $10.00 per Unit, generating gross proceeds to the Company of $150,000,000.</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IPO, the Company entered into the following agreements, forms of which were previously filed as exhibits to the Company’s Registration Statement on Form S-1 (File No. 333-253107) for the IPO, initially filed with the U.S. Securities and Exchange Commission (the “Commission”) on February 12, 2021 (as amended, the “Registration Statement”):</w:t>
      </w:r>
    </w:p>
    <w:p>
      <w:pPr>
        <w:spacing w:after="0" w:line="184" w:lineRule="exact"/>
        <w:rPr>
          <w:sz w:val="20"/>
          <w:szCs w:val="20"/>
          <w:color w:val="auto"/>
        </w:rPr>
      </w:pPr>
    </w:p>
    <w:p>
      <w:pPr>
        <w:ind w:left="66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Underwriting Agreement, dated August 3, 2021, by and between the Company and Evercore Group L.L.C., as representative of the several underwriters, a copy of which is attached as Exhibit 1.1 hereto and incorporated herein by reference.</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Warrant Agreement, dated August 3, 2021, by and between the Company and Continental Stock Transfer &amp; Trust Company, as warrant agent, a copy of which is attached as Exhibit 4.1 hereto and incorporated herein by reference.</w:t>
      </w:r>
    </w:p>
    <w:p>
      <w:pPr>
        <w:jc w:val="both"/>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Letter Agreement, dated August 3, 2021 (the “Insider Letter”), by and among the Company, its officers, its directors, Walker Woodson, AMCI Group, LLC Series 35 and the Company’s sponsor, AMCI Sponsor II LLC (the “Sponsor”), a copy of which is attached as Exhibit 10.1 hereto and incorporated herein by reference.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Investment Management Trust Agreement, dated August 3, 2021, by and between the Company and Continental Stock Transfer &amp; Trust Company, as trustee, a copy of which is attached as Exhibit 10.2 hereto and incorporated herein by reference.</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Registration Rights Agreement, dated August 3, 2021, by and among the Company, its officers, its directors, the Sponsor, Walker Woodson and AMCI Group, LLC Series 35, a copy of which is attached as Exhibit 10.3 hereto and incorporated herein by reference.</w:t>
      </w:r>
    </w:p>
    <w:p>
      <w:pPr>
        <w:ind w:left="660" w:hanging="328"/>
        <w:spacing w:after="0" w:line="26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Private Placement Warrants Purchase Agreement, dated August 3, 2021, by and among the Company and the Sponsor (the “Private Placement Warrants Purchase Agreement”), a copy of which is attached as Exhibit 10.4 hereto and incorporated herein by reference.</w:t>
      </w:r>
    </w:p>
    <w:p>
      <w:pPr>
        <w:ind w:left="66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Administrative Support Agreement, dated August 3, 2021, by and between the Company and the Sponsor, a copy of which is attached as Exhibit 10.5 hereto and incorporated herein by reference.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Simultaneously with the closing of the IPO, pursuant to the Private Placement Warrants Purchase Agreement, the Company completed the private sale of an aggregate of 3,500,000 warrants (the “Private Placement Warrants”) to the Sponsors at a purchase price of $1.00 per Private Placement Warrant, generating gross proceeds to the Company of $3,500,000. The Private Placement Warrants are identical to the Warrants sold in the IPO, except that the Private Placement Warrants, so long as they are held by the Sponsor or its permitted transferees, (i) are not redeemable by the Company, (ii) may not (including the Class A Common Stock issuable upon exercise of such Private Placement Warrants), subject to certain limited exceptions, be transferred, assigned or sold by such holders until 30 days after the completion of the Company’s initial business combination, (iii) may be exercised by the holders on a cashless basis and (iv) will be entitled to registration rights. No underwriting discounts or commissions were paid with respect to such sales. The issuance of the Private Placement Warrants was made pursuant to the exemption from registration contained in Section 4(a)(2) of the Securities Act of 1933, as amended.</w:t>
      </w:r>
    </w:p>
    <w:p>
      <w:pPr>
        <w:spacing w:after="0" w:line="177" w:lineRule="exact"/>
        <w:rPr>
          <w:sz w:val="20"/>
          <w:szCs w:val="20"/>
          <w:color w:val="auto"/>
        </w:rPr>
      </w:pPr>
    </w:p>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August 3, 2021, in connection with the IPO, each of Mark Pinho, Jill Watz, Adrian Paterson and Kate Burson (the “Independent Directors”) was appointed to the board of directors of the Company (the “Board”). Each of the Independent Directors is an independent director. Effective August 3, 2021, (i) Mr. Pinho, Ms. Watz and Dr. Paterson were appointed to the Board’s Audit Committee, with Mr. Pinho serving as chair of the Audit Committee; and Mr. Pinho and Ms. Burson were appointed to the Board’s Compensation Committee, with Mr. Pinho serving as chair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firstLine="648"/>
        <w:spacing w:after="0" w:line="277" w:lineRule="auto"/>
        <w:rPr>
          <w:sz w:val="20"/>
          <w:szCs w:val="20"/>
          <w:color w:val="auto"/>
        </w:rPr>
      </w:pPr>
      <w:r>
        <w:rPr>
          <w:rFonts w:ascii="Arial" w:cs="Arial" w:eastAsia="Arial" w:hAnsi="Arial"/>
          <w:sz w:val="18"/>
          <w:szCs w:val="18"/>
          <w:color w:val="auto"/>
        </w:rPr>
        <w:t>On August 3, 2021, in connection with their appointments to the Board, each director entered into the Insider Letter as well as an indemnity agreement with the Company in the form previously filed as Exhibit 10.8 to the Registration Statement.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Other than the foregoing, none of the directors are party to any arrangement or understanding with any person pursuant to which they were appointed as directors, nor are they party to any transactions required to be disclosed under Item 404(a) of Regulation S-K involving the Company.</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descriptions of the Insider Letter and the form of indemnity agreement do not purport to be complete and are qualified in their entireties by reference to the Insider Letter and form of indemnity agreement, copies of which are attached as Exhibit 10.1 hereto and Exhibit 10.8 to the Registration Statement, respectively, and are incorporated herein by reference.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Certificate of Incorporation or Bylaws; Change in Fiscal Year.</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August 3, 2021, in connection with the IPO, the Company adopted its Amended and Restated Certificate of Incorporation (the “Amended Charter”), effective the same day. The terms of the Amended Charter are set forth in the Registration Statement and are incorporated herein by reference. A copy of the Amended Charter is attached as Exhibit 3.1 hereto and incorporated herein by reference.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total of $150,000,000, comprised of $148,500,000 of the proceeds from the IPO (which amount includes $5,250,000 of the underwriters’ deferred discount) and $1,500,000 of the proceeds of the sale of the Private Placement Warrants, was placed in a U.S.-based trust account at J.P. Morgan Chase Bank, N.A. maintained by Continental Stock Transfer &amp; Trust Company, acting as trustee. Except with respect to interest earned on the funds held in the trust account that may be released to the Company to pay its tax obligations (less up to $100,000 of interest to pay dissolution expenses), the funds held in the trust account will not be released from the trust account until the earliest of (i) the completion of the Company’s initial business combination, (ii) the redemption of any shares of Class A Common Stock included in the Units sold in the IPO (“public shares”) properly submitted in connection with a stockholder vote to amend the Company’s second amended and restated certificate of incorporation to modify the substance or timing of the Company’s obligation to redeem 100% of the public shares if the Company does not complete its initial business combination within 24 months from the closing of the IPO or to provide for redemption in connection with an initial business combination and (iii) the redemption of the public shares if the Company is unable to complete an initial business combination within 24 months from the closing of the IPO, subject to applicable law.</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3, 2021, the Company issued a press release announcing the pricing of the IPO, a copy of which is attached as Exhibit 99.1 to this Current Report on Form 8-K.</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August 6, 2021, the Company issued a press release announcing the closing of the IPO and the exercise of the underwriters' over-allotment option in full, a copy of which is attached as Exhibit 99.2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00" w:type="dxa"/>
            <w:vAlign w:val="bottom"/>
            <w:gridSpan w:val="4"/>
          </w:tcPr>
          <w:p>
            <w:pPr>
              <w:spacing w:after="0"/>
              <w:rPr>
                <w:sz w:val="20"/>
                <w:szCs w:val="20"/>
                <w:color w:val="auto"/>
              </w:rPr>
            </w:pPr>
            <w:r>
              <w:rPr>
                <w:rFonts w:ascii="Arial" w:cs="Arial" w:eastAsia="Arial" w:hAnsi="Arial"/>
                <w:sz w:val="18"/>
                <w:szCs w:val="18"/>
                <w:b w:val="1"/>
                <w:bCs w:val="1"/>
                <w:color w:val="auto"/>
              </w:rPr>
              <w:t>Item 9.01</w:t>
            </w:r>
          </w:p>
        </w:tc>
        <w:tc>
          <w:tcPr>
            <w:tcW w:w="9940" w:type="dxa"/>
            <w:vAlign w:val="bottom"/>
            <w:gridSpan w:val="9"/>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(d) Exhibits</w:t>
            </w: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3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80" w:type="dxa"/>
            <w:vAlign w:val="bottom"/>
            <w:gridSpan w:val="4"/>
          </w:tcPr>
          <w:p>
            <w:pPr>
              <w:ind w:left="9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30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994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4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hyperlink>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940" w:type="dxa"/>
            <w:vAlign w:val="bottom"/>
            <w:tcBorders>
              <w:top w:val="single" w:sz="8" w:color="auto"/>
              <w:bottom w:val="single" w:sz="8" w:color="0000EE"/>
            </w:tcBorders>
            <w:gridSpan w:val="9"/>
          </w:tcPr>
          <w:p>
            <w:pPr>
              <w:spacing w:after="0" w:line="169"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Underwriting Agreement, dated August 3, 2021, by and between the Company and Evercore Group L.L.C., as representative of the</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several underwriters.</w:t>
              </w:r>
            </w:hyperlink>
          </w:p>
        </w:tc>
        <w:tc>
          <w:tcPr>
            <w:tcW w:w="8420" w:type="dxa"/>
            <w:vAlign w:val="bottom"/>
            <w:gridSpan w:val="6"/>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40" w:type="dxa"/>
            <w:vAlign w:val="bottom"/>
            <w:gridSpan w:val="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Amended and Restated Certificate of Incorporation.</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w:anchor="page6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Warrant Agreement, dated August 3, 2021, by and between the Company and Continental Stock Transfer &amp; Trust Company, as warrant</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0000EE"/>
            </w:tcBorders>
          </w:tcPr>
          <w:p>
            <w:pPr>
              <w:spacing w:after="0" w:line="196" w:lineRule="exact"/>
              <w:rPr>
                <w:rFonts w:ascii="Arial" w:cs="Arial" w:eastAsia="Arial" w:hAnsi="Arial"/>
                <w:sz w:val="18"/>
                <w:szCs w:val="18"/>
                <w:color w:val="0000EE"/>
                <w:w w:val="83"/>
              </w:rPr>
            </w:pPr>
            <w:hyperlink w:anchor="page62">
              <w:r>
                <w:rPr>
                  <w:rFonts w:ascii="Arial" w:cs="Arial" w:eastAsia="Arial" w:hAnsi="Arial"/>
                  <w:sz w:val="18"/>
                  <w:szCs w:val="18"/>
                  <w:color w:val="0000EE"/>
                  <w:w w:val="83"/>
                </w:rPr>
                <w:t>agent.</w:t>
              </w:r>
            </w:hyperlink>
          </w:p>
        </w:tc>
        <w:tc>
          <w:tcPr>
            <w:tcW w:w="9500" w:type="dxa"/>
            <w:vAlign w:val="bottom"/>
            <w:gridSpan w:val="8"/>
          </w:tcPr>
          <w:p>
            <w:pPr>
              <w:spacing w:after="0"/>
              <w:rPr>
                <w:sz w:val="17"/>
                <w:szCs w:val="17"/>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88">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4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88">
              <w:r>
                <w:rPr>
                  <w:rFonts w:ascii="Arial" w:cs="Arial" w:eastAsia="Arial" w:hAnsi="Arial"/>
                  <w:sz w:val="18"/>
                  <w:szCs w:val="18"/>
                  <w:color w:val="0000EE"/>
                  <w:w w:val="92"/>
                </w:rPr>
                <w:t>Insider Letter, dated August 3, 2021, by and among the Company, its officers, its directors, AMCI Sponsor II LLC, Walker Woodson and</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9"/>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AMCI Group, LLC Series 35.</w:t>
              </w:r>
            </w:hyperlink>
          </w:p>
        </w:tc>
      </w:tr>
      <w:tr>
        <w:trPr>
          <w:trHeight w:val="20"/>
        </w:trPr>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9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96">
              <w:r>
                <w:rPr>
                  <w:rFonts w:ascii="Arial" w:cs="Arial" w:eastAsia="Arial" w:hAnsi="Arial"/>
                  <w:sz w:val="18"/>
                  <w:szCs w:val="18"/>
                  <w:color w:val="0000EE"/>
                  <w:w w:val="91"/>
                </w:rPr>
                <w:t>Investment Management Trust Agreement, dated August 3, 2021, by and between the Company and Continental Stock Transfer &amp; Trust</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9"/>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Company, as trustee.</w:t>
              </w:r>
            </w:hyperlink>
          </w:p>
        </w:tc>
      </w:tr>
      <w:tr>
        <w:trPr>
          <w:trHeight w:val="20"/>
        </w:trPr>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1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110">
              <w:r>
                <w:rPr>
                  <w:rFonts w:ascii="Arial" w:cs="Arial" w:eastAsia="Arial" w:hAnsi="Arial"/>
                  <w:sz w:val="18"/>
                  <w:szCs w:val="18"/>
                  <w:color w:val="0000EE"/>
                  <w:w w:val="95"/>
                </w:rPr>
                <w:t>Registration Rights Agreement, dated August 3, 2021, by and among the Company, its officers, its directors, AMCI Sponsor II LLC,</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9"/>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Walker Woodson and AMCI Group, LLC Series 35.</w:t>
              </w:r>
            </w:hyperlink>
          </w:p>
        </w:tc>
      </w:tr>
      <w:tr>
        <w:trPr>
          <w:trHeight w:val="20"/>
        </w:trPr>
        <w:tc>
          <w:tcPr>
            <w:tcW w:w="3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5"/>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2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3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27">
              <w:r>
                <w:rPr>
                  <w:rFonts w:ascii="Arial" w:cs="Arial" w:eastAsia="Arial" w:hAnsi="Arial"/>
                  <w:sz w:val="18"/>
                  <w:szCs w:val="18"/>
                  <w:color w:val="0000EE"/>
                  <w:w w:val="90"/>
                </w:rPr>
                <w:t>Private Placement Warrants Purchase Agreement, dated August 3, 2021, by and among the Company and AMCI Sponsor II LLC.</w:t>
              </w:r>
            </w:hyperlink>
          </w:p>
        </w:tc>
        <w:tc>
          <w:tcPr>
            <w:tcW w:w="600" w:type="dxa"/>
            <w:vAlign w:val="bottom"/>
          </w:tcPr>
          <w:p>
            <w:pPr>
              <w:spacing w:after="0"/>
              <w:rPr>
                <w:sz w:val="24"/>
                <w:szCs w:val="24"/>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3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3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34">
              <w:r>
                <w:rPr>
                  <w:rFonts w:ascii="Arial" w:cs="Arial" w:eastAsia="Arial" w:hAnsi="Arial"/>
                  <w:sz w:val="18"/>
                  <w:szCs w:val="18"/>
                  <w:color w:val="0000EE"/>
                  <w:w w:val="91"/>
                </w:rPr>
                <w:t>Administrative Support Agreement, dated August 3, 2021, by and among the Company and AMCI Sponsor II LLC</w:t>
              </w:r>
            </w:hyperlink>
          </w:p>
        </w:tc>
        <w:tc>
          <w:tcPr>
            <w:tcW w:w="1640" w:type="dxa"/>
            <w:vAlign w:val="bottom"/>
            <w:gridSpan w:val="2"/>
          </w:tcPr>
          <w:p>
            <w:pPr>
              <w:spacing w:after="0"/>
              <w:rPr>
                <w:sz w:val="24"/>
                <w:szCs w:val="24"/>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137">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40" w:type="dxa"/>
            <w:vAlign w:val="bottom"/>
            <w:gridSpan w:val="9"/>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Press Release, dated August 3, 2021.</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5"/>
            <w:shd w:val="clear" w:color="auto" w:fill="0000EE"/>
          </w:tcPr>
          <w:p>
            <w:pPr>
              <w:spacing w:after="0" w:line="20" w:lineRule="exact"/>
              <w:rPr>
                <w:sz w:val="1"/>
                <w:szCs w:val="1"/>
                <w:color w:val="auto"/>
              </w:rPr>
            </w:pPr>
          </w:p>
        </w:tc>
        <w:tc>
          <w:tcPr>
            <w:tcW w:w="7280" w:type="dxa"/>
            <w:vAlign w:val="bottom"/>
            <w:gridSpan w:val="4"/>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w:anchor="page138">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940" w:type="dxa"/>
            <w:vAlign w:val="bottom"/>
            <w:gridSpan w:val="9"/>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Press Release, dated August 6, 2021.</w:t>
              </w:r>
            </w:hyperlink>
          </w:p>
        </w:tc>
      </w:tr>
      <w:tr>
        <w:trPr>
          <w:trHeight w:val="453"/>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AMCI ACQUISITION CORP. II</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Nimesh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Nimesh Patel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August 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1.1</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15,000,000 Units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AMCI Acquisition Corp.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EVERCORE GROUP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 EVERCORE GROUP L.L.C.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55 E. 52nd St.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10055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Introductory. </w:t>
      </w:r>
      <w:r>
        <w:rPr>
          <w:rFonts w:ascii="Arial" w:cs="Arial" w:eastAsia="Arial" w:hAnsi="Arial"/>
          <w:sz w:val="17"/>
          <w:szCs w:val="17"/>
          <w:color w:val="auto"/>
        </w:rPr>
        <w:t>AMCI Acquisition Corp. II,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(the “</w:t>
      </w:r>
      <w:r>
        <w:rPr>
          <w:rFonts w:ascii="Arial" w:cs="Arial" w:eastAsia="Arial" w:hAnsi="Arial"/>
          <w:sz w:val="17"/>
          <w:szCs w:val="17"/>
          <w:b w:val="1"/>
          <w:bCs w:val="1"/>
          <w:color w:val="auto"/>
        </w:rPr>
        <w:t>Underwriters</w:t>
      </w:r>
      <w:r>
        <w:rPr>
          <w:rFonts w:ascii="Arial" w:cs="Arial" w:eastAsia="Arial" w:hAnsi="Arial"/>
          <w:sz w:val="17"/>
          <w:szCs w:val="17"/>
          <w:color w:val="auto"/>
        </w:rPr>
        <w:t>”) an aggregate of 15,000,000 units of the Company (the “</w:t>
      </w:r>
      <w:r>
        <w:rPr>
          <w:rFonts w:ascii="Arial" w:cs="Arial" w:eastAsia="Arial" w:hAnsi="Arial"/>
          <w:sz w:val="17"/>
          <w:szCs w:val="17"/>
          <w:b w:val="1"/>
          <w:bCs w:val="1"/>
          <w:color w:val="auto"/>
        </w:rPr>
        <w:t>Units</w:t>
      </w:r>
      <w:r>
        <w:rPr>
          <w:rFonts w:ascii="Arial" w:cs="Arial" w:eastAsia="Arial" w:hAnsi="Arial"/>
          <w:sz w:val="17"/>
          <w:szCs w:val="17"/>
          <w:color w:val="auto"/>
        </w:rPr>
        <w:t>”). The 15,000,000 Units to be sold by the Company are collectively called the “</w:t>
      </w:r>
      <w:r>
        <w:rPr>
          <w:rFonts w:ascii="Arial" w:cs="Arial" w:eastAsia="Arial" w:hAnsi="Arial"/>
          <w:sz w:val="17"/>
          <w:szCs w:val="17"/>
          <w:b w:val="1"/>
          <w:bCs w:val="1"/>
          <w:color w:val="auto"/>
        </w:rPr>
        <w:t>Firm Securities</w:t>
      </w:r>
      <w:r>
        <w:rPr>
          <w:rFonts w:ascii="Arial" w:cs="Arial" w:eastAsia="Arial" w:hAnsi="Arial"/>
          <w:sz w:val="17"/>
          <w:szCs w:val="17"/>
          <w:color w:val="auto"/>
        </w:rPr>
        <w:t>.” In addition, the Company has granted to the Underwriters an option to purchase up to an additional 2,250,000 Units as provided in Section 2. The additional 2,250,000 Units to be sold by the Company pursuant to such option are collectively called the “</w:t>
      </w:r>
      <w:r>
        <w:rPr>
          <w:rFonts w:ascii="Arial" w:cs="Arial" w:eastAsia="Arial" w:hAnsi="Arial"/>
          <w:sz w:val="17"/>
          <w:szCs w:val="17"/>
          <w:b w:val="1"/>
          <w:bCs w:val="1"/>
          <w:color w:val="auto"/>
        </w:rPr>
        <w:t>Optional</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The Firm Securities and, if, and to the extent, such option is exercised, the Optional Securities are collectively called the “</w:t>
      </w:r>
      <w:r>
        <w:rPr>
          <w:rFonts w:ascii="Arial" w:cs="Arial" w:eastAsia="Arial" w:hAnsi="Arial"/>
          <w:sz w:val="17"/>
          <w:szCs w:val="17"/>
          <w:b w:val="1"/>
          <w:bCs w:val="1"/>
          <w:color w:val="auto"/>
        </w:rPr>
        <w:t>Offered Securities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Evercore Group L.L.C. (“</w:t>
      </w:r>
      <w:r>
        <w:rPr>
          <w:rFonts w:ascii="Arial" w:cs="Arial" w:eastAsia="Arial" w:hAnsi="Arial"/>
          <w:sz w:val="17"/>
          <w:szCs w:val="17"/>
          <w:b w:val="1"/>
          <w:bCs w:val="1"/>
          <w:color w:val="auto"/>
        </w:rPr>
        <w:t>Evercore</w:t>
      </w:r>
      <w:r>
        <w:rPr>
          <w:rFonts w:ascii="Arial" w:cs="Arial" w:eastAsia="Arial" w:hAnsi="Arial"/>
          <w:sz w:val="17"/>
          <w:szCs w:val="17"/>
          <w:color w:val="auto"/>
        </w:rPr>
        <w:t>”) has agreed to act as representative of the several Underwriters (in such capacity, the “</w:t>
      </w:r>
      <w:r>
        <w:rPr>
          <w:rFonts w:ascii="Arial" w:cs="Arial" w:eastAsia="Arial" w:hAnsi="Arial"/>
          <w:sz w:val="17"/>
          <w:szCs w:val="17"/>
          <w:b w:val="1"/>
          <w:bCs w:val="1"/>
          <w:color w:val="auto"/>
        </w:rPr>
        <w:t>Representative</w:t>
      </w:r>
      <w:r>
        <w:rPr>
          <w:rFonts w:ascii="Arial" w:cs="Arial" w:eastAsia="Arial" w:hAnsi="Arial"/>
          <w:sz w:val="17"/>
          <w:szCs w:val="17"/>
          <w:color w:val="auto"/>
        </w:rPr>
        <w:t>”) in connection with the offering of the Offered Securities for sale to the public as contemplated in the Prospectus (as defined below) (the “</w:t>
      </w:r>
      <w:r>
        <w:rPr>
          <w:rFonts w:ascii="Arial" w:cs="Arial" w:eastAsia="Arial" w:hAnsi="Arial"/>
          <w:sz w:val="17"/>
          <w:szCs w:val="17"/>
          <w:b w:val="1"/>
          <w:bCs w:val="1"/>
          <w:color w:val="auto"/>
        </w:rPr>
        <w:t>Offering</w:t>
      </w:r>
      <w:r>
        <w:rPr>
          <w:rFonts w:ascii="Arial" w:cs="Arial" w:eastAsia="Arial" w:hAnsi="Arial"/>
          <w:sz w:val="17"/>
          <w:szCs w:val="17"/>
          <w:color w:val="auto"/>
        </w:rPr>
        <w:t xml:space="preserve">”). To the extent there are no additional underwriters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the term “Representative” as used herein shall mean you, as Underwriter, and the term “Underwriters” shall mean either the singular or the plural, as the context requires.</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Each Unit consists of one share of the Company’s Class A common stock, par value $0.0001 per share (“</w:t>
      </w:r>
      <w:r>
        <w:rPr>
          <w:rFonts w:ascii="Arial" w:cs="Arial" w:eastAsia="Arial" w:hAnsi="Arial"/>
          <w:sz w:val="16"/>
          <w:szCs w:val="16"/>
          <w:b w:val="1"/>
          <w:bCs w:val="1"/>
          <w:color w:val="auto"/>
        </w:rPr>
        <w:t>Class A Common Stock</w:t>
      </w:r>
      <w:r>
        <w:rPr>
          <w:rFonts w:ascii="Arial" w:cs="Arial" w:eastAsia="Arial" w:hAnsi="Arial"/>
          <w:sz w:val="16"/>
          <w:szCs w:val="16"/>
          <w:color w:val="auto"/>
        </w:rPr>
        <w:t>”), and one-half of one warrant, where each whole warrant entitles the holder to purchase one share of Class A Common Stock (the “</w:t>
      </w:r>
      <w:r>
        <w:rPr>
          <w:rFonts w:ascii="Arial" w:cs="Arial" w:eastAsia="Arial" w:hAnsi="Arial"/>
          <w:sz w:val="16"/>
          <w:szCs w:val="16"/>
          <w:b w:val="1"/>
          <w:bCs w:val="1"/>
          <w:color w:val="auto"/>
        </w:rPr>
        <w:t>Warrant(s)</w:t>
      </w:r>
      <w:r>
        <w:rPr>
          <w:rFonts w:ascii="Arial" w:cs="Arial" w:eastAsia="Arial" w:hAnsi="Arial"/>
          <w:sz w:val="16"/>
          <w:szCs w:val="16"/>
          <w:color w:val="auto"/>
        </w:rPr>
        <w:t>”). The shares of Class A Common Stock and Warrants included in the Units will not trade separately until the 52nd day following the date of the Prospectus (as defined below) (unless the Representative informs the Company of its decision to allow earlier separate trading), subject to (a) the Company’s preparation of an audited balance sheet reflecting the receipt by the Company of the proceeds of the Offering, (b) the filing of such audited balance sheet with the U.S.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on a Form 8-K or similar form by the Company that includes such audited balance sheet, and (c) the Company having issued a press release announcing when such separate trading will begin. Each whole Warrant entitles its holder, upon exercise, to purchase one share of Class A Common Stock for $11.50 per share during the period commencing on the later of 30 days after the completion of an initial Business Combination (as defined below) or 12 months from the date of the closing of the Offering and terminating on the five-year anniversary of the date of the completion of such initial Business Combination or earlier upon redemption or liquidation. As used herein, the term “</w:t>
      </w:r>
      <w:r>
        <w:rPr>
          <w:rFonts w:ascii="Arial" w:cs="Arial" w:eastAsia="Arial" w:hAnsi="Arial"/>
          <w:sz w:val="16"/>
          <w:szCs w:val="16"/>
          <w:b w:val="1"/>
          <w:bCs w:val="1"/>
          <w:color w:val="auto"/>
        </w:rPr>
        <w:t>Business Combination</w:t>
      </w:r>
      <w:r>
        <w:rPr>
          <w:rFonts w:ascii="Arial" w:cs="Arial" w:eastAsia="Arial" w:hAnsi="Arial"/>
          <w:sz w:val="16"/>
          <w:szCs w:val="16"/>
          <w:color w:val="auto"/>
        </w:rPr>
        <w:t>” (as described more fully in the Registration Statement (as defined below)) shall mean a merger, capital stock exchange, asset acquisition, stock purchase, reorganization or similar business combination with one or more businesses involving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jc w:val="both"/>
        <w:ind w:firstLine="648"/>
        <w:spacing w:after="0" w:line="284" w:lineRule="auto"/>
        <w:rPr>
          <w:sz w:val="20"/>
          <w:szCs w:val="20"/>
          <w:color w:val="auto"/>
        </w:rPr>
      </w:pPr>
      <w:r>
        <w:rPr>
          <w:rFonts w:ascii="Arial" w:cs="Arial" w:eastAsia="Arial" w:hAnsi="Arial"/>
          <w:sz w:val="16"/>
          <w:szCs w:val="16"/>
          <w:color w:val="auto"/>
        </w:rPr>
        <w:t>The Company has prepared and filed with the Commission a registration statement on Form S-1, File No. 333-253107 which contains a form of prospectus to be used in connection with the Offering and sale of the Offered Securities.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Arial" w:cs="Arial" w:eastAsia="Arial" w:hAnsi="Arial"/>
          <w:sz w:val="16"/>
          <w:szCs w:val="16"/>
          <w:b w:val="1"/>
          <w:bCs w:val="1"/>
          <w:color w:val="auto"/>
        </w:rPr>
        <w:t>Securities Act</w:t>
      </w:r>
      <w:r>
        <w:rPr>
          <w:rFonts w:ascii="Arial" w:cs="Arial" w:eastAsia="Arial" w:hAnsi="Arial"/>
          <w:sz w:val="16"/>
          <w:szCs w:val="16"/>
          <w:color w:val="auto"/>
        </w:rPr>
        <w:t>”), including any information deemed to be a part thereof at the time of effectiveness pursuant to Rule 430A under the Securities Act, is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Any registration statement filed by the Company pursuant to Rule 462(b) under the Securities Act in connection with the offer and sale of the Offered Securities is called the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and from and after the date and time of filing of any such Rule 462(b) Registration Statement the term “Registration Statement” shall include the Rule 462(b) Registration Statement. The prospectus, in the form first used by the Underwriters to confirm sales of the Offered Securities or in the form first made available to the Underwriters by the Company to meet requests of purchasers pursuant to Rule 173 under the Securities Act, is called the “</w:t>
      </w:r>
      <w:r>
        <w:rPr>
          <w:rFonts w:ascii="Arial" w:cs="Arial" w:eastAsia="Arial" w:hAnsi="Arial"/>
          <w:sz w:val="16"/>
          <w:szCs w:val="16"/>
          <w:b w:val="1"/>
          <w:bCs w:val="1"/>
          <w:color w:val="auto"/>
        </w:rPr>
        <w:t>Prospectus</w:t>
      </w:r>
      <w:r>
        <w:rPr>
          <w:rFonts w:ascii="Arial" w:cs="Arial" w:eastAsia="Arial" w:hAnsi="Arial"/>
          <w:sz w:val="16"/>
          <w:szCs w:val="16"/>
          <w:color w:val="auto"/>
        </w:rPr>
        <w:t>.” The preliminary prospectus dated July 22, 2021 describing the Offered Securities and the Offering thereof is called the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and the Preliminary Prospectus and any other prospectus in preliminary form that describes the Offered Securities and the Offering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and is used prior to the filing of the Prospectus is called a “</w:t>
      </w:r>
      <w:r>
        <w:rPr>
          <w:rFonts w:ascii="Arial" w:cs="Arial" w:eastAsia="Arial" w:hAnsi="Arial"/>
          <w:sz w:val="16"/>
          <w:szCs w:val="16"/>
          <w:b w:val="1"/>
          <w:bCs w:val="1"/>
          <w:color w:val="auto"/>
        </w:rPr>
        <w:t>preliminary prospectus</w:t>
      </w:r>
      <w:r>
        <w:rPr>
          <w:rFonts w:ascii="Arial" w:cs="Arial" w:eastAsia="Arial" w:hAnsi="Arial"/>
          <w:sz w:val="16"/>
          <w:szCs w:val="16"/>
          <w:color w:val="auto"/>
        </w:rPr>
        <w:t>.” As used herein, “</w:t>
      </w:r>
      <w:r>
        <w:rPr>
          <w:rFonts w:ascii="Arial" w:cs="Arial" w:eastAsia="Arial" w:hAnsi="Arial"/>
          <w:sz w:val="16"/>
          <w:szCs w:val="16"/>
          <w:b w:val="1"/>
          <w:bCs w:val="1"/>
          <w:color w:val="auto"/>
        </w:rPr>
        <w:t>Applicable Time</w:t>
      </w:r>
      <w:r>
        <w:rPr>
          <w:rFonts w:ascii="Arial" w:cs="Arial" w:eastAsia="Arial" w:hAnsi="Arial"/>
          <w:sz w:val="16"/>
          <w:szCs w:val="16"/>
          <w:color w:val="auto"/>
        </w:rPr>
        <w:t>” is 5:52 p.m. (New York City time) on August 3, 2021. As used herein, “</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and time at which such registration statement, or the most recent post-effective amendment thereto, was declared effective by the Commission in accordance with the rules and regulations under the Securities Act. As used herein, “</w:t>
      </w:r>
      <w:r>
        <w:rPr>
          <w:rFonts w:ascii="Arial" w:cs="Arial" w:eastAsia="Arial" w:hAnsi="Arial"/>
          <w:sz w:val="16"/>
          <w:szCs w:val="16"/>
          <w:b w:val="1"/>
          <w:bCs w:val="1"/>
          <w:color w:val="auto"/>
        </w:rPr>
        <w:t>free</w:t>
      </w:r>
      <w:r>
        <w:rPr>
          <w:rFonts w:ascii="Arial" w:cs="Arial" w:eastAsia="Arial" w:hAnsi="Arial"/>
          <w:sz w:val="16"/>
          <w:szCs w:val="16"/>
          <w:color w:val="auto"/>
        </w:rPr>
        <w:t xml:space="preserve"> </w:t>
      </w:r>
      <w:r>
        <w:rPr>
          <w:rFonts w:ascii="Arial" w:cs="Arial" w:eastAsia="Arial" w:hAnsi="Arial"/>
          <w:sz w:val="16"/>
          <w:szCs w:val="16"/>
          <w:b w:val="1"/>
          <w:bCs w:val="1"/>
          <w:color w:val="auto"/>
        </w:rPr>
        <w:t>writing prospectus</w:t>
      </w:r>
      <w:r>
        <w:rPr>
          <w:rFonts w:ascii="Arial" w:cs="Arial" w:eastAsia="Arial" w:hAnsi="Arial"/>
          <w:sz w:val="16"/>
          <w:szCs w:val="16"/>
          <w:color w:val="auto"/>
        </w:rPr>
        <w:t>” has the meaning set forth in Rule 405 under the Securities Act, and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Preliminary Prospectus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together with the Time of Delivery Information, if any, set forth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As used herein, </w:t>
      </w:r>
      <w:r>
        <w:rPr>
          <w:rFonts w:ascii="Arial" w:cs="Arial" w:eastAsia="Arial" w:hAnsi="Arial"/>
          <w:sz w:val="16"/>
          <w:szCs w:val="16"/>
          <w:b w:val="1"/>
          <w:bCs w:val="1"/>
          <w:color w:val="auto"/>
        </w:rPr>
        <w:t>“Road Show”</w:t>
      </w:r>
      <w:r>
        <w:rPr>
          <w:rFonts w:ascii="Arial" w:cs="Arial" w:eastAsia="Arial" w:hAnsi="Arial"/>
          <w:sz w:val="16"/>
          <w:szCs w:val="16"/>
          <w:color w:val="auto"/>
        </w:rPr>
        <w:t xml:space="preserve"> means a “road show” (as defined in Rule 433 under the Securities Act) relating to the Offering contemplated hereby that is a “written communication” (as defined in Rule 405 under the Securities Act). As used herein, “</w:t>
      </w:r>
      <w:r>
        <w:rPr>
          <w:rFonts w:ascii="Arial" w:cs="Arial" w:eastAsia="Arial" w:hAnsi="Arial"/>
          <w:sz w:val="16"/>
          <w:szCs w:val="16"/>
          <w:b w:val="1"/>
          <w:bCs w:val="1"/>
          <w:color w:val="auto"/>
        </w:rPr>
        <w:t>Section 5(d) Written Communication</w:t>
      </w:r>
      <w:r>
        <w:rPr>
          <w:rFonts w:ascii="Arial" w:cs="Arial" w:eastAsia="Arial" w:hAnsi="Arial"/>
          <w:sz w:val="16"/>
          <w:szCs w:val="16"/>
          <w:color w:val="auto"/>
        </w:rPr>
        <w:t>” means each written communication (within the meaning of Rule 405 under the Securities Act) that is made in reliance on Section 5(d) of the Securities Act by the Company or any person authorized to act on behalf of the Company to one or more potential investors that are qualified institutional buyers (“</w:t>
      </w:r>
      <w:r>
        <w:rPr>
          <w:rFonts w:ascii="Arial" w:cs="Arial" w:eastAsia="Arial" w:hAnsi="Arial"/>
          <w:sz w:val="16"/>
          <w:szCs w:val="16"/>
          <w:b w:val="1"/>
          <w:bCs w:val="1"/>
          <w:color w:val="auto"/>
        </w:rPr>
        <w:t>QIBs</w:t>
      </w:r>
      <w:r>
        <w:rPr>
          <w:rFonts w:ascii="Arial" w:cs="Arial" w:eastAsia="Arial" w:hAnsi="Arial"/>
          <w:sz w:val="16"/>
          <w:szCs w:val="16"/>
          <w:color w:val="auto"/>
        </w:rPr>
        <w:t>”) and/or institutions that are accredited investors (“</w:t>
      </w:r>
      <w:r>
        <w:rPr>
          <w:rFonts w:ascii="Arial" w:cs="Arial" w:eastAsia="Arial" w:hAnsi="Arial"/>
          <w:sz w:val="16"/>
          <w:szCs w:val="16"/>
          <w:b w:val="1"/>
          <w:bCs w:val="1"/>
          <w:color w:val="auto"/>
        </w:rPr>
        <w:t>IAIs</w:t>
      </w:r>
      <w:r>
        <w:rPr>
          <w:rFonts w:ascii="Arial" w:cs="Arial" w:eastAsia="Arial" w:hAnsi="Arial"/>
          <w:sz w:val="16"/>
          <w:szCs w:val="16"/>
          <w:color w:val="auto"/>
        </w:rPr>
        <w:t>”), as such terms are respectively defined in Rule 144A and Rule 501(a) under the Securities Act, to determine whether such investors might have an interest in the Offering; “</w:t>
      </w:r>
      <w:r>
        <w:rPr>
          <w:rFonts w:ascii="Arial" w:cs="Arial" w:eastAsia="Arial" w:hAnsi="Arial"/>
          <w:sz w:val="16"/>
          <w:szCs w:val="16"/>
          <w:b w:val="1"/>
          <w:bCs w:val="1"/>
          <w:color w:val="auto"/>
        </w:rPr>
        <w:t>Section 5(d) Oral Communication</w:t>
      </w:r>
      <w:r>
        <w:rPr>
          <w:rFonts w:ascii="Arial" w:cs="Arial" w:eastAsia="Arial" w:hAnsi="Arial"/>
          <w:sz w:val="16"/>
          <w:szCs w:val="16"/>
          <w:color w:val="auto"/>
        </w:rPr>
        <w:t>” means each oral communication, if any, made in reliance on Section 5(d) of the Securities Act by the Company or any person authorized to act on behalf of the Company made to one or more QIBs and/or one or more IAIs to determine whether such investors might have an interest in the Offering; “</w:t>
      </w:r>
      <w:r>
        <w:rPr>
          <w:rFonts w:ascii="Arial" w:cs="Arial" w:eastAsia="Arial" w:hAnsi="Arial"/>
          <w:sz w:val="16"/>
          <w:szCs w:val="16"/>
          <w:b w:val="1"/>
          <w:bCs w:val="1"/>
          <w:color w:val="auto"/>
        </w:rPr>
        <w:t>Marketing Materials</w:t>
      </w:r>
      <w:r>
        <w:rPr>
          <w:rFonts w:ascii="Arial" w:cs="Arial" w:eastAsia="Arial" w:hAnsi="Arial"/>
          <w:sz w:val="16"/>
          <w:szCs w:val="16"/>
          <w:color w:val="auto"/>
        </w:rPr>
        <w:t>” means any materials or information provided to investors by, or with the approval of, the Company in connection with the marketing of the Offering, including any Road Show or investor presentations made to investors by the Company (whether in person or electronically); and “</w:t>
      </w:r>
      <w:r>
        <w:rPr>
          <w:rFonts w:ascii="Arial" w:cs="Arial" w:eastAsia="Arial" w:hAnsi="Arial"/>
          <w:sz w:val="16"/>
          <w:szCs w:val="16"/>
          <w:b w:val="1"/>
          <w:bCs w:val="1"/>
          <w:color w:val="auto"/>
        </w:rPr>
        <w:t>Permitted Section 5(d) Communication</w:t>
      </w:r>
      <w:r>
        <w:rPr>
          <w:rFonts w:ascii="Arial" w:cs="Arial" w:eastAsia="Arial" w:hAnsi="Arial"/>
          <w:sz w:val="16"/>
          <w:szCs w:val="16"/>
          <w:color w:val="auto"/>
        </w:rPr>
        <w:t xml:space="preserve">” means the Section 5(d) Written Communication(s) and Marketing Materials listed on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648"/>
        <w:spacing w:after="0" w:line="263" w:lineRule="auto"/>
        <w:rPr>
          <w:sz w:val="20"/>
          <w:szCs w:val="20"/>
          <w:color w:val="auto"/>
        </w:rPr>
      </w:pPr>
      <w:r>
        <w:rPr>
          <w:rFonts w:ascii="Arial" w:cs="Arial" w:eastAsia="Arial" w:hAnsi="Arial"/>
          <w:sz w:val="18"/>
          <w:szCs w:val="18"/>
          <w:color w:val="auto"/>
        </w:rPr>
        <w:t>All references in this Agreement to the Registration Statement, any preliminary prospectus (including the Preliminary Prospectus), or the Prospectus, or any amendments or supplements to any of the foregoing shall include any copy thereof filed with the Commission pursuant to its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entered into a Securities Subscription Agreement, dated as of January 29, 2021 (the “</w:t>
      </w:r>
      <w:r>
        <w:rPr>
          <w:rFonts w:ascii="Arial" w:cs="Arial" w:eastAsia="Arial" w:hAnsi="Arial"/>
          <w:sz w:val="16"/>
          <w:szCs w:val="16"/>
          <w:b w:val="1"/>
          <w:bCs w:val="1"/>
          <w:color w:val="auto"/>
        </w:rPr>
        <w:t>Subscription Agreement</w:t>
      </w:r>
      <w:r>
        <w:rPr>
          <w:rFonts w:ascii="Arial" w:cs="Arial" w:eastAsia="Arial" w:hAnsi="Arial"/>
          <w:sz w:val="16"/>
          <w:szCs w:val="16"/>
          <w:color w:val="auto"/>
        </w:rPr>
        <w:t>”), with AMCI Sponsor II LLC, a Delaware limited liability company (the “</w:t>
      </w:r>
      <w:r>
        <w:rPr>
          <w:rFonts w:ascii="Arial" w:cs="Arial" w:eastAsia="Arial" w:hAnsi="Arial"/>
          <w:sz w:val="16"/>
          <w:szCs w:val="16"/>
          <w:b w:val="1"/>
          <w:bCs w:val="1"/>
          <w:color w:val="auto"/>
        </w:rPr>
        <w:t>Sponsor</w:t>
      </w:r>
      <w:r>
        <w:rPr>
          <w:rFonts w:ascii="Arial" w:cs="Arial" w:eastAsia="Arial" w:hAnsi="Arial"/>
          <w:sz w:val="16"/>
          <w:szCs w:val="16"/>
          <w:color w:val="auto"/>
        </w:rPr>
        <w:t>”), in substantially the form filed as Exhibit 10.7 to the Registration Statement, pursuant to which the Sponsor purchased an aggregate of 5,031,250 shares of Class B common stock, par value $0.0001 per share, of the Company for an aggregate purchase price of $25,000, or approximately $0.005 per share (the “</w:t>
      </w:r>
      <w:r>
        <w:rPr>
          <w:rFonts w:ascii="Arial" w:cs="Arial" w:eastAsia="Arial" w:hAnsi="Arial"/>
          <w:sz w:val="16"/>
          <w:szCs w:val="16"/>
          <w:b w:val="1"/>
          <w:bCs w:val="1"/>
          <w:color w:val="auto"/>
        </w:rPr>
        <w:t>Founder Shares</w:t>
      </w:r>
      <w:r>
        <w:rPr>
          <w:rFonts w:ascii="Arial" w:cs="Arial" w:eastAsia="Arial" w:hAnsi="Arial"/>
          <w:sz w:val="16"/>
          <w:szCs w:val="16"/>
          <w:color w:val="auto"/>
        </w:rPr>
        <w:t>”). In March 2021, the Sponsor transferred an aggregate of 5,031,250 Founder Shares to the Company’s officers and directors and entities and persons affiliated with AMCI Group. On May 14, 2021, certain of the Company’s initial stockholders forfeited an aggregate of 718,750 founder shares, resulting in an aggregate of 4,312,500 Founder Shares outstanding. Up to 656,250 of the Founder Shares are subject to forfeiture depending on the extent to which the Underwriters’ over-allotment option is exercised. The Founder Shares are substantially similar to the Class A Common Stock included in the Units except as described in the Prospectus.</w:t>
      </w:r>
    </w:p>
    <w:p>
      <w:pPr>
        <w:spacing w:after="0" w:line="16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August 3, 2021, the Sponsor subscribed to purchase an aggregate of 3,500,000 warrants (or up to 3,725,000 warrants if the option to purchase additional Units as provided in Section 2 is exercised in full), each entitling the holder to purchase one share of Class A Common Stock at an exercise price of $11.50 per share (the “</w:t>
      </w:r>
      <w:r>
        <w:rPr>
          <w:rFonts w:ascii="Arial" w:cs="Arial" w:eastAsia="Arial" w:hAnsi="Arial"/>
          <w:sz w:val="16"/>
          <w:szCs w:val="16"/>
          <w:b w:val="1"/>
          <w:bCs w:val="1"/>
          <w:color w:val="auto"/>
        </w:rPr>
        <w:t>Sponsor Warrants</w:t>
      </w:r>
      <w:r>
        <w:rPr>
          <w:rFonts w:ascii="Arial" w:cs="Arial" w:eastAsia="Arial" w:hAnsi="Arial"/>
          <w:sz w:val="16"/>
          <w:szCs w:val="16"/>
          <w:color w:val="auto"/>
        </w:rPr>
        <w:t>”) and the Company entered into a Private Placement Warrants Purchase Agreement with the Sponsor (the “</w:t>
      </w:r>
      <w:r>
        <w:rPr>
          <w:rFonts w:ascii="Arial" w:cs="Arial" w:eastAsia="Arial" w:hAnsi="Arial"/>
          <w:sz w:val="16"/>
          <w:szCs w:val="16"/>
          <w:b w:val="1"/>
          <w:bCs w:val="1"/>
          <w:color w:val="auto"/>
        </w:rPr>
        <w:t>Warrant Subscription Agreement</w:t>
      </w:r>
      <w:r>
        <w:rPr>
          <w:rFonts w:ascii="Arial" w:cs="Arial" w:eastAsia="Arial" w:hAnsi="Arial"/>
          <w:sz w:val="16"/>
          <w:szCs w:val="16"/>
          <w:color w:val="auto"/>
        </w:rPr>
        <w:t>”) in substantially the form filed as Exhibit 10.4 to the Registration Statement. Except as described in the Registration Statement, the Time of Sale Prospectus and the Prospectus, the Sponsor Warrants have the same terms as the Warrants included in the Units.</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entered into an Investment Management Trust Agreement, effective as of August 3, 2021, with Continental Stock Transfer &amp; Trust Company (“</w:t>
      </w:r>
      <w:r>
        <w:rPr>
          <w:rFonts w:ascii="Arial" w:cs="Arial" w:eastAsia="Arial" w:hAnsi="Arial"/>
          <w:sz w:val="16"/>
          <w:szCs w:val="16"/>
          <w:b w:val="1"/>
          <w:bCs w:val="1"/>
          <w:color w:val="auto"/>
        </w:rPr>
        <w:t>CST</w:t>
      </w:r>
      <w:r>
        <w:rPr>
          <w:rFonts w:ascii="Arial" w:cs="Arial" w:eastAsia="Arial" w:hAnsi="Arial"/>
          <w:sz w:val="16"/>
          <w:szCs w:val="16"/>
          <w:color w:val="auto"/>
        </w:rPr>
        <w:t>”), as trustee, in substantially the form filed as Exhibit 10.3 to the Registration Statement (the “</w:t>
      </w:r>
      <w:r>
        <w:rPr>
          <w:rFonts w:ascii="Arial" w:cs="Arial" w:eastAsia="Arial" w:hAnsi="Arial"/>
          <w:sz w:val="16"/>
          <w:szCs w:val="16"/>
          <w:b w:val="1"/>
          <w:bCs w:val="1"/>
          <w:color w:val="auto"/>
        </w:rPr>
        <w:t>Trust Agreement</w:t>
      </w:r>
      <w:r>
        <w:rPr>
          <w:rFonts w:ascii="Arial" w:cs="Arial" w:eastAsia="Arial" w:hAnsi="Arial"/>
          <w:sz w:val="16"/>
          <w:szCs w:val="16"/>
          <w:color w:val="auto"/>
        </w:rPr>
        <w:t>”), pursuant to which the proceeds from the sale of the Sponsor Warrants and certain proceeds of the Offering and sale of the Offered Securities will be deposited and held in a trust account (the “</w:t>
      </w:r>
      <w:r>
        <w:rPr>
          <w:rFonts w:ascii="Arial" w:cs="Arial" w:eastAsia="Arial" w:hAnsi="Arial"/>
          <w:sz w:val="16"/>
          <w:szCs w:val="16"/>
          <w:b w:val="1"/>
          <w:bCs w:val="1"/>
          <w:color w:val="auto"/>
        </w:rPr>
        <w:t>Trust Account</w:t>
      </w:r>
      <w:r>
        <w:rPr>
          <w:rFonts w:ascii="Arial" w:cs="Arial" w:eastAsia="Arial" w:hAnsi="Arial"/>
          <w:sz w:val="16"/>
          <w:szCs w:val="16"/>
          <w:color w:val="auto"/>
        </w:rPr>
        <w:t>”) for the benefit of the Company, the Underwriters and the Public Stockholders (as defined below).</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entered into a Warrant Agreement, effective as of August 3, 2021, with respect to the Warrants, the Sponsor Warrants and any warrants issued upon the conversion of working capital loans by the Sponsor or its affiliates or the Company’s officers and directors to the Company (the “</w:t>
      </w:r>
      <w:r>
        <w:rPr>
          <w:rFonts w:ascii="Arial" w:cs="Arial" w:eastAsia="Arial" w:hAnsi="Arial"/>
          <w:sz w:val="18"/>
          <w:szCs w:val="18"/>
          <w:b w:val="1"/>
          <w:bCs w:val="1"/>
          <w:color w:val="auto"/>
        </w:rPr>
        <w:t>Working Capital Warrants</w:t>
      </w:r>
      <w:r>
        <w:rPr>
          <w:rFonts w:ascii="Arial" w:cs="Arial" w:eastAsia="Arial" w:hAnsi="Arial"/>
          <w:sz w:val="18"/>
          <w:szCs w:val="18"/>
          <w:color w:val="auto"/>
        </w:rPr>
        <w:t>”) with CST, as warrant agent, in substantially the form filed as Exhibit 4.4 to the Registration Statement (the “</w:t>
      </w:r>
      <w:r>
        <w:rPr>
          <w:rFonts w:ascii="Arial" w:cs="Arial" w:eastAsia="Arial" w:hAnsi="Arial"/>
          <w:sz w:val="18"/>
          <w:szCs w:val="18"/>
          <w:b w:val="1"/>
          <w:bCs w:val="1"/>
          <w:color w:val="auto"/>
        </w:rPr>
        <w:t>Warrant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pursuant to which CST will act as warrant agent in connection with the issuance, registration, transfer, exchange, redemption, and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Warrants, the Sponsor Warrants and the Working Capital Warrants.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entered into a Registration Rights Agreement, dated as of August 3, 2021, with the Sponsor and the other parties thereto, in substantially the form filed as Exhibit 10.3 to the Registration Statement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pursuant to which the Company has granted certain registration rights in respect of the Founder Shares, the Sponsor Warrants and warrants that may be issued upon conversion of working capital loans and any shares of Class A Common Stock issuable upon the exercise of the Sponsor Warrants and warrants that may be issued upon conversion of working capital loans and upon conversion of the Founder Shares.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firstLine="648"/>
        <w:spacing w:after="0" w:line="263" w:lineRule="auto"/>
        <w:rPr>
          <w:sz w:val="20"/>
          <w:szCs w:val="20"/>
          <w:color w:val="auto"/>
        </w:rPr>
      </w:pPr>
      <w:r>
        <w:rPr>
          <w:rFonts w:ascii="Arial" w:cs="Arial" w:eastAsia="Arial" w:hAnsi="Arial"/>
          <w:sz w:val="18"/>
          <w:szCs w:val="18"/>
          <w:color w:val="auto"/>
        </w:rPr>
        <w:t>The Company has caused to be duly executed and delivered a letter agreement, dated August 3, 2021, by and among the Sponsor, AMCI Group, LLC Series 35 (“</w:t>
      </w:r>
      <w:r>
        <w:rPr>
          <w:rFonts w:ascii="Arial" w:cs="Arial" w:eastAsia="Arial" w:hAnsi="Arial"/>
          <w:sz w:val="18"/>
          <w:szCs w:val="18"/>
          <w:b w:val="1"/>
          <w:bCs w:val="1"/>
          <w:color w:val="auto"/>
        </w:rPr>
        <w:t>Series 35</w:t>
      </w:r>
      <w:r>
        <w:rPr>
          <w:rFonts w:ascii="Arial" w:cs="Arial" w:eastAsia="Arial" w:hAnsi="Arial"/>
          <w:sz w:val="18"/>
          <w:szCs w:val="18"/>
          <w:color w:val="auto"/>
        </w:rPr>
        <w:t>”) and each of the Company’s officers, directors and director nominees prior to the Offering, in substantially the form filed as Exhibit 10.1 to the Registration Statement (the “</w:t>
      </w:r>
      <w:r>
        <w:rPr>
          <w:rFonts w:ascii="Arial" w:cs="Arial" w:eastAsia="Arial" w:hAnsi="Arial"/>
          <w:sz w:val="18"/>
          <w:szCs w:val="18"/>
          <w:b w:val="1"/>
          <w:bCs w:val="1"/>
          <w:color w:val="auto"/>
        </w:rPr>
        <w:t>Insider Letter</w:t>
      </w:r>
      <w:r>
        <w:rPr>
          <w:rFonts w:ascii="Arial" w:cs="Arial" w:eastAsia="Arial" w:hAnsi="Arial"/>
          <w:sz w:val="18"/>
          <w:szCs w:val="18"/>
          <w:color w:val="auto"/>
        </w:rPr>
        <w:t>”).</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has entered into an Administrative Support Agreement, dated as of August 3, 2021, with the Sponsor, in substantially the form filed as Exhibit 10.8 to the Registration Statement (the “</w:t>
      </w:r>
      <w:r>
        <w:rPr>
          <w:rFonts w:ascii="Arial" w:cs="Arial" w:eastAsia="Arial" w:hAnsi="Arial"/>
          <w:sz w:val="18"/>
          <w:szCs w:val="18"/>
          <w:b w:val="1"/>
          <w:bCs w:val="1"/>
          <w:color w:val="auto"/>
        </w:rPr>
        <w:t>Administrative Support Agreement</w:t>
      </w:r>
      <w:r>
        <w:rPr>
          <w:rFonts w:ascii="Arial" w:cs="Arial" w:eastAsia="Arial" w:hAnsi="Arial"/>
          <w:sz w:val="18"/>
          <w:szCs w:val="18"/>
          <w:color w:val="auto"/>
        </w:rPr>
        <w:t>”), pursuant to which the Company will pay to the Sponsor an aggregate monthly fee of $10,000 for office space, secretarial and administrative services.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confirms its agreements with the Underwriters as follows:</w:t>
      </w:r>
    </w:p>
    <w:p>
      <w:pPr>
        <w:spacing w:after="0" w:line="221"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Representations and Warranties of the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hereby represents, warrants and covenants to each Underwriter, as of the date of this Agreement, as of the First Closing Date (as hereinafter defined) and as of each Option Closing Date (as hereinafter defined), if any, as follows:</w:t>
      </w:r>
    </w:p>
    <w:p>
      <w:pPr>
        <w:spacing w:after="0" w:line="166" w:lineRule="exact"/>
        <w:rPr>
          <w:sz w:val="20"/>
          <w:szCs w:val="20"/>
          <w:color w:val="auto"/>
        </w:rPr>
      </w:pPr>
    </w:p>
    <w:p>
      <w:pPr>
        <w:jc w:val="both"/>
        <w:ind w:firstLine="656"/>
        <w:spacing w:after="0" w:line="303" w:lineRule="auto"/>
        <w:tabs>
          <w:tab w:leader="none" w:pos="154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Registration Requirements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Registration Statement and the Exchange Act Registration Statement (as defined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below) have become effective under the Securities Act. The Company 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w:t>
      </w:r>
    </w:p>
    <w:p>
      <w:pPr>
        <w:spacing w:after="0" w:line="150" w:lineRule="exact"/>
        <w:rPr>
          <w:rFonts w:ascii="Arial" w:cs="Arial" w:eastAsia="Arial" w:hAnsi="Arial"/>
          <w:sz w:val="16"/>
          <w:szCs w:val="16"/>
          <w:b w:val="1"/>
          <w:bCs w:val="1"/>
          <w:color w:val="auto"/>
        </w:rPr>
      </w:pPr>
    </w:p>
    <w:p>
      <w:pPr>
        <w:jc w:val="both"/>
        <w:ind w:firstLine="656"/>
        <w:spacing w:after="0" w:line="286" w:lineRule="auto"/>
        <w:tabs>
          <w:tab w:leader="none" w:pos="1448"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Disclosure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preliminary prospectus and the Prospectus when filed complied in all material respects with the Securities Act and,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filed by electronic transmission pursuant to EDGAR, was identical (except as may be permitted by Regulation S-T under the Securities Act) to the copy thereof delivered to the Underwriters for use in connection with the offer and sale of the Offered Securities.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 expressly for use therein, it being understood and agreed that the only such information consists of the information described in Section 8(b) below. There are no contracts or other documents required to be described in the Time of Sale Prospectus or the Prospectus or to be filed as an exhibit to the Registration Statement which have not been described or filed as required.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56"/>
        <w:spacing w:after="0" w:line="256" w:lineRule="auto"/>
        <w:tabs>
          <w:tab w:leader="none" w:pos="14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Free Writing Prospectuses; Road Show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the determination date referenced in Rule 164(h) under the Securities Act and the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 the Company was and is an “ineligible issuer” in connection with the Offering pursuant to Rules 164, 405 and 433 under the Securities Act. Except for electronic road shows, if any, furnished to you before first use, the Company has not prepared, used or referred to, and will not, without your prior written consent,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187" w:lineRule="exact"/>
        <w:rPr>
          <w:rFonts w:ascii="Arial" w:cs="Arial" w:eastAsia="Arial" w:hAnsi="Arial"/>
          <w:sz w:val="18"/>
          <w:szCs w:val="18"/>
          <w:b w:val="1"/>
          <w:bCs w:val="1"/>
          <w:color w:val="auto"/>
        </w:rPr>
      </w:pPr>
    </w:p>
    <w:p>
      <w:pPr>
        <w:jc w:val="both"/>
        <w:ind w:firstLine="656"/>
        <w:spacing w:after="0" w:line="303" w:lineRule="auto"/>
        <w:tabs>
          <w:tab w:leader="none" w:pos="1516"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Distribution of Offering Material By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the later of (i) the expiration or termination of the option granted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Underwriters in Section 2, (ii) the completion of the Underwriters’ distribution of the Offered Securities and (iii) the expiration of 25 days after the date of the Prospectus</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has not distributed and will not distribute any offering material in connection with the Offering and sale of the Offered Securities other than the Registration Statement, the Time of Sale Prospectus, the Prospectus and any Permitted Section 5(d) Communications.</w:t>
      </w:r>
    </w:p>
    <w:p>
      <w:pPr>
        <w:spacing w:after="0" w:line="150" w:lineRule="exact"/>
        <w:rPr>
          <w:rFonts w:ascii="Arial" w:cs="Arial" w:eastAsia="Arial" w:hAnsi="Arial"/>
          <w:sz w:val="16"/>
          <w:szCs w:val="16"/>
          <w:b w:val="1"/>
          <w:bCs w:val="1"/>
          <w:color w:val="auto"/>
        </w:rPr>
      </w:pPr>
    </w:p>
    <w:p>
      <w:pPr>
        <w:jc w:val="both"/>
        <w:ind w:firstLine="656"/>
        <w:spacing w:after="0" w:line="261" w:lineRule="auto"/>
        <w:tabs>
          <w:tab w:leader="none" w:pos="141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Underwriting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has been duly and validly authorized, executed and delivered by the Company, and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Arial" w:cs="Arial" w:eastAsia="Arial" w:hAnsi="Arial"/>
          <w:sz w:val="18"/>
          <w:szCs w:val="18"/>
          <w:b w:val="1"/>
          <w:bCs w:val="1"/>
          <w:color w:val="auto"/>
        </w:rPr>
      </w:pPr>
    </w:p>
    <w:p>
      <w:pPr>
        <w:jc w:val="both"/>
        <w:ind w:firstLine="656"/>
        <w:spacing w:after="0" w:line="303" w:lineRule="auto"/>
        <w:tabs>
          <w:tab w:leader="none" w:pos="1651"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Filing of a Form 8-A</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filed with the Commission a registration statement (as amended, the “</w:t>
      </w:r>
      <w:r>
        <w:rPr>
          <w:rFonts w:ascii="Arial" w:cs="Arial" w:eastAsia="Arial" w:hAnsi="Arial"/>
          <w:sz w:val="16"/>
          <w:szCs w:val="16"/>
          <w:b w:val="1"/>
          <w:bCs w:val="1"/>
          <w:color w:val="auto"/>
        </w:rPr>
        <w:t>Exchange Act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Registration Statement</w:t>
      </w:r>
      <w:r>
        <w:rPr>
          <w:rFonts w:ascii="Arial" w:cs="Arial" w:eastAsia="Arial" w:hAnsi="Arial"/>
          <w:sz w:val="16"/>
          <w:szCs w:val="16"/>
          <w:color w:val="auto"/>
        </w:rPr>
        <w:t>”) on Form 8-A (file number 001-40282) providing for the registration under the Securities Exchange Act of 1934, as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rules and regulations promulgated thereunder (collectively, the “</w:t>
      </w:r>
      <w:r>
        <w:rPr>
          <w:rFonts w:ascii="Arial" w:cs="Arial" w:eastAsia="Arial" w:hAnsi="Arial"/>
          <w:sz w:val="16"/>
          <w:szCs w:val="16"/>
          <w:b w:val="1"/>
          <w:bCs w:val="1"/>
          <w:color w:val="auto"/>
        </w:rPr>
        <w:t>Exchange Act</w:t>
      </w:r>
      <w:r>
        <w:rPr>
          <w:rFonts w:ascii="Arial" w:cs="Arial" w:eastAsia="Arial" w:hAnsi="Arial"/>
          <w:sz w:val="16"/>
          <w:szCs w:val="16"/>
          <w:color w:val="auto"/>
        </w:rPr>
        <w:t>”) of certain of the securities of the Company, which registration is currently effective on the date hereof. The Exchange Act Registration Statement has become effective as provided in Section 12 of the Exchange Act.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firstLine="656"/>
        <w:spacing w:after="0" w:line="282" w:lineRule="auto"/>
        <w:tabs>
          <w:tab w:leader="none" w:pos="141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Exchange 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Securities, shares of Class A Common Stock and Warrants have been approved for listing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Nasdaq Capital Market (the “</w:t>
      </w:r>
      <w:r>
        <w:rPr>
          <w:rFonts w:ascii="Arial" w:cs="Arial" w:eastAsia="Arial" w:hAnsi="Arial"/>
          <w:sz w:val="18"/>
          <w:szCs w:val="18"/>
          <w:b w:val="1"/>
          <w:bCs w:val="1"/>
          <w:color w:val="auto"/>
        </w:rPr>
        <w:t>Nasdaq</w:t>
      </w:r>
      <w:r>
        <w:rPr>
          <w:rFonts w:ascii="Arial" w:cs="Arial" w:eastAsia="Arial" w:hAnsi="Arial"/>
          <w:sz w:val="18"/>
          <w:szCs w:val="18"/>
          <w:color w:val="auto"/>
        </w:rPr>
        <w:t>”), subject only to official notice of issuance.</w:t>
      </w:r>
    </w:p>
    <w:p>
      <w:pPr>
        <w:spacing w:after="0" w:line="161" w:lineRule="exact"/>
        <w:rPr>
          <w:rFonts w:ascii="Arial" w:cs="Arial" w:eastAsia="Arial" w:hAnsi="Arial"/>
          <w:sz w:val="18"/>
          <w:szCs w:val="18"/>
          <w:b w:val="1"/>
          <w:bCs w:val="1"/>
          <w:color w:val="auto"/>
        </w:rPr>
      </w:pPr>
    </w:p>
    <w:p>
      <w:pPr>
        <w:ind w:firstLine="656"/>
        <w:spacing w:after="0" w:line="347" w:lineRule="auto"/>
        <w:tabs>
          <w:tab w:leader="none" w:pos="1448"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Integration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any of its affiliates has, prior to the date hereof, made any offer or sale of any securities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required to be “integrated” pursuant to the Securities Act with the offer and sale of the Offered Securities pursuant to the Registration Statement.</w:t>
      </w:r>
    </w:p>
    <w:p>
      <w:pPr>
        <w:spacing w:after="0" w:line="115" w:lineRule="exact"/>
        <w:rPr>
          <w:rFonts w:ascii="Arial" w:cs="Arial" w:eastAsia="Arial" w:hAnsi="Arial"/>
          <w:sz w:val="16"/>
          <w:szCs w:val="16"/>
          <w:b w:val="1"/>
          <w:bCs w:val="1"/>
          <w:color w:val="auto"/>
        </w:rPr>
      </w:pPr>
    </w:p>
    <w:p>
      <w:pPr>
        <w:jc w:val="both"/>
        <w:ind w:firstLine="656"/>
        <w:spacing w:after="0" w:line="258" w:lineRule="auto"/>
        <w:tabs>
          <w:tab w:leader="none" w:pos="15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Sponsor Warrants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Sponsor Warrants have been duly authorized by the Company and, when issued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in the manner set forth in the Warrant Agreement and the Warrant Subscription Agreement, will be duly 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83" w:lineRule="exact"/>
        <w:rPr>
          <w:rFonts w:ascii="Arial" w:cs="Arial" w:eastAsia="Arial" w:hAnsi="Arial"/>
          <w:sz w:val="18"/>
          <w:szCs w:val="18"/>
          <w:b w:val="1"/>
          <w:bCs w:val="1"/>
          <w:color w:val="auto"/>
        </w:rPr>
      </w:pPr>
    </w:p>
    <w:p>
      <w:pPr>
        <w:ind w:left="1600" w:hanging="944"/>
        <w:spacing w:after="0"/>
        <w:tabs>
          <w:tab w:leader="none" w:pos="16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Authorization of the Founder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Founder Shares have been duly authorized and are validly issued, fully paid and non-</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assessable.</w:t>
      </w:r>
    </w:p>
    <w:p>
      <w:pPr>
        <w:spacing w:after="0" w:line="206" w:lineRule="exact"/>
        <w:rPr>
          <w:rFonts w:ascii="Arial" w:cs="Arial" w:eastAsia="Arial" w:hAnsi="Arial"/>
          <w:sz w:val="16"/>
          <w:szCs w:val="16"/>
          <w:b w:val="1"/>
          <w:bCs w:val="1"/>
          <w:color w:val="auto"/>
        </w:rPr>
      </w:pPr>
    </w:p>
    <w:p>
      <w:pPr>
        <w:jc w:val="both"/>
        <w:ind w:firstLine="656"/>
        <w:spacing w:after="0" w:line="256" w:lineRule="auto"/>
        <w:tabs>
          <w:tab w:leader="none" w:pos="1637"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Offered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Securities have been duly authorized for issuance and sale pursuant to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and, when issued and delivered by the Company against payment therefor pursuant to this Agreement,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 and the issuance and sale of the Offered Securities is not subject to any preemptive rights, rights of first refusal or other similar rights to subscribe for or purchase the Offered Securities.</w:t>
      </w:r>
    </w:p>
    <w:p>
      <w:pPr>
        <w:spacing w:after="0" w:line="187" w:lineRule="exact"/>
        <w:rPr>
          <w:rFonts w:ascii="Arial" w:cs="Arial" w:eastAsia="Arial" w:hAnsi="Arial"/>
          <w:sz w:val="18"/>
          <w:szCs w:val="18"/>
          <w:b w:val="1"/>
          <w:bCs w:val="1"/>
          <w:color w:val="auto"/>
        </w:rPr>
      </w:pPr>
    </w:p>
    <w:p>
      <w:pPr>
        <w:jc w:val="both"/>
        <w:ind w:firstLine="656"/>
        <w:spacing w:after="0" w:line="289" w:lineRule="auto"/>
        <w:tabs>
          <w:tab w:leader="none" w:pos="1439"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Authorization of the Class A Common Stock</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shares of Class A Common Stock included in the Units have been duly and validly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authorized and, when issued and delivered against payment for the Offered Securities by the Underwriters pursuant to this Agreement, will be duly and validly issued, fully paid and non-assessable and free of preemptive rights, resale rights, rights of first refusal and similar rights.</w:t>
      </w:r>
    </w:p>
    <w:p>
      <w:pPr>
        <w:spacing w:after="0" w:line="157" w:lineRule="exact"/>
        <w:rPr>
          <w:rFonts w:ascii="Arial" w:cs="Arial" w:eastAsia="Arial" w:hAnsi="Arial"/>
          <w:sz w:val="17"/>
          <w:szCs w:val="17"/>
          <w:b w:val="1"/>
          <w:bCs w:val="1"/>
          <w:color w:val="auto"/>
        </w:rPr>
      </w:pPr>
    </w:p>
    <w:p>
      <w:pPr>
        <w:jc w:val="both"/>
        <w:ind w:firstLine="656"/>
        <w:spacing w:after="0" w:line="258" w:lineRule="auto"/>
        <w:tabs>
          <w:tab w:leader="none" w:pos="1673"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Warrants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Warrants have been duly authorized by the Company and, when issued and delivered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manner set forth in the Warrant Agreement against payment for the Offered Securities by the Underwriters pursuant to this Agreement, will be duly 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83" w:lineRule="exact"/>
        <w:rPr>
          <w:rFonts w:ascii="Arial" w:cs="Arial" w:eastAsia="Arial" w:hAnsi="Arial"/>
          <w:sz w:val="18"/>
          <w:szCs w:val="18"/>
          <w:b w:val="1"/>
          <w:bCs w:val="1"/>
          <w:color w:val="auto"/>
        </w:rPr>
      </w:pPr>
    </w:p>
    <w:p>
      <w:pPr>
        <w:jc w:val="both"/>
        <w:ind w:firstLine="656"/>
        <w:spacing w:after="0" w:line="292" w:lineRule="auto"/>
        <w:tabs>
          <w:tab w:leader="none" w:pos="1597"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Authorization of the Class A Common Stock Issuable Upon Exercise of the Warrants and the Sponsor 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shares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A Common Stock issuable upon exercise of the Warrants included in the Units and the Sponsor Warrants have been duly authorized and reserved for issuance upon exercise thereof and, when issued and delivered against payment therefor pursuant to the Warrants and the Sponsor Warrants, as applicable, and the Warrant Agreement, will be validly issued, fully paid and non-assessable. The holders of such Class A Common Stock are not and will not be subject to personal liability by reason of being such holders; such Class A Common Stock is not and will not be subject to any preemptive or other similar contractual rights granted by the Company; and all corporate action required to be taken for the authorization, issuance and sale of such Class A Common Stock (other than such execution, countersignature and delivery at the time of issuance) has been duly and validly taken.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56"/>
        <w:spacing w:after="0" w:line="314" w:lineRule="auto"/>
        <w:tabs>
          <w:tab w:leader="none" w:pos="1559"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Trust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Trust Agreement has been duly authorized, executed and delivered by the Company, and is a valid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41" w:lineRule="exact"/>
        <w:rPr>
          <w:rFonts w:ascii="Arial" w:cs="Arial" w:eastAsia="Arial" w:hAnsi="Arial"/>
          <w:sz w:val="16"/>
          <w:szCs w:val="16"/>
          <w:b w:val="1"/>
          <w:bCs w:val="1"/>
          <w:color w:val="auto"/>
        </w:rPr>
      </w:pPr>
    </w:p>
    <w:p>
      <w:pPr>
        <w:jc w:val="both"/>
        <w:ind w:firstLine="656"/>
        <w:spacing w:after="0" w:line="314" w:lineRule="auto"/>
        <w:tabs>
          <w:tab w:leader="none" w:pos="1421"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Warrant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Warrant Agreement has been duly authorized, executed and delivered by the Company and is a valid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41" w:lineRule="exact"/>
        <w:rPr>
          <w:rFonts w:ascii="Arial" w:cs="Arial" w:eastAsia="Arial" w:hAnsi="Arial"/>
          <w:sz w:val="16"/>
          <w:szCs w:val="16"/>
          <w:b w:val="1"/>
          <w:bCs w:val="1"/>
          <w:color w:val="auto"/>
        </w:rPr>
      </w:pPr>
    </w:p>
    <w:p>
      <w:pPr>
        <w:jc w:val="both"/>
        <w:ind w:firstLine="656"/>
        <w:spacing w:after="0" w:line="261" w:lineRule="auto"/>
        <w:tabs>
          <w:tab w:leader="none" w:pos="146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Subscription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Subscription Agreement has been duly authorized, executed and delivered by the Company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Arial" w:cs="Arial" w:eastAsia="Arial" w:hAnsi="Arial"/>
          <w:sz w:val="18"/>
          <w:szCs w:val="18"/>
          <w:b w:val="1"/>
          <w:bCs w:val="1"/>
          <w:color w:val="auto"/>
        </w:rPr>
      </w:pPr>
    </w:p>
    <w:p>
      <w:pPr>
        <w:jc w:val="both"/>
        <w:ind w:firstLine="656"/>
        <w:spacing w:after="0" w:line="261" w:lineRule="auto"/>
        <w:tabs>
          <w:tab w:leader="none" w:pos="146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Warrant Subscription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Warrant Subscription Agreement has been duly authorized, executed and delivered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and the 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Arial" w:cs="Arial" w:eastAsia="Arial" w:hAnsi="Arial"/>
          <w:sz w:val="18"/>
          <w:szCs w:val="18"/>
          <w:b w:val="1"/>
          <w:bCs w:val="1"/>
          <w:color w:val="auto"/>
        </w:rPr>
      </w:pPr>
    </w:p>
    <w:p>
      <w:pPr>
        <w:jc w:val="both"/>
        <w:ind w:firstLine="656"/>
        <w:spacing w:after="0" w:line="261" w:lineRule="auto"/>
        <w:tabs>
          <w:tab w:leader="none" w:pos="1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Registration Rights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Registration Rights Agreement has been duly authorized, executed and delivered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and the Sponsor, and each director and officer of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Arial" w:cs="Arial" w:eastAsia="Arial" w:hAnsi="Arial"/>
          <w:sz w:val="18"/>
          <w:szCs w:val="18"/>
          <w:b w:val="1"/>
          <w:bCs w:val="1"/>
          <w:color w:val="auto"/>
        </w:rPr>
      </w:pPr>
    </w:p>
    <w:p>
      <w:pPr>
        <w:jc w:val="both"/>
        <w:ind w:firstLine="656"/>
        <w:spacing w:after="0" w:line="274" w:lineRule="auto"/>
        <w:tabs>
          <w:tab w:leader="none" w:pos="1381"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Insider Letter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Insider Letter has been duly authorized, executed and delivered by the Company, the Sponsor and Series 35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such executive officer, director and director nominee, respectively, and is a valid and binding agreement of the Company, the Sponsor and Series 35 and, to the knowledge of the Company, each such executive officer, director and director nominee of the Company, respectively, enforceable against the Company, the Sponsor and Series 35 and, to the knowledge of the Company, each such executive officer, director and director nominee of the Company, respectively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56"/>
        <w:spacing w:after="0" w:line="281" w:lineRule="auto"/>
        <w:tabs>
          <w:tab w:leader="none" w:pos="147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Administrative Support Agreement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Administrative Support Agreement has been duly authorized, executed and delivered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and, assuming the due authorization, execution and delivery thereof by the Sponsor,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64" w:lineRule="exact"/>
        <w:rPr>
          <w:rFonts w:ascii="Arial" w:cs="Arial" w:eastAsia="Arial" w:hAnsi="Arial"/>
          <w:sz w:val="17"/>
          <w:szCs w:val="17"/>
          <w:b w:val="1"/>
          <w:bCs w:val="1"/>
          <w:color w:val="auto"/>
        </w:rPr>
      </w:pPr>
    </w:p>
    <w:p>
      <w:pPr>
        <w:ind w:left="1400" w:hanging="744"/>
        <w:spacing w:after="0"/>
        <w:tabs>
          <w:tab w:leader="none" w:pos="1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[Reserved]</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firstLine="656"/>
        <w:spacing w:after="0" w:line="269" w:lineRule="auto"/>
        <w:tabs>
          <w:tab w:leader="none" w:pos="1667"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Material Adverse Change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otherwise disclosed in the Registration Statement, the Time of Sale Prospectus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subsequent to the respective dates as of which information is given in the Registration Statement, the Time of Sale Prospectus and the Prospectus: (i) there has been no material adverse change, or any development that could be expected to result in a material adverse change, in the condition, financial or otherwise, or in the earnings, business, properties, operations, assets, liabilities or prospects</w:t>
      </w:r>
      <w:r>
        <w:rPr>
          <w:rFonts w:ascii="Arial" w:cs="Arial" w:eastAsia="Arial" w:hAnsi="Arial"/>
          <w:sz w:val="17"/>
          <w:szCs w:val="17"/>
          <w:b w:val="1"/>
          <w:bCs w:val="1"/>
          <w:color w:val="auto"/>
        </w:rPr>
        <w:t>,</w:t>
      </w:r>
      <w:r>
        <w:rPr>
          <w:rFonts w:ascii="Arial" w:cs="Arial" w:eastAsia="Arial" w:hAnsi="Arial"/>
          <w:sz w:val="17"/>
          <w:szCs w:val="17"/>
          <w:color w:val="auto"/>
        </w:rPr>
        <w:t xml:space="preserve"> whether or not arising from transactions in the ordinary course of business, of the Company (any such change being referred to herein as a “</w:t>
      </w:r>
      <w:r>
        <w:rPr>
          <w:rFonts w:ascii="Arial" w:cs="Arial" w:eastAsia="Arial" w:hAnsi="Arial"/>
          <w:sz w:val="17"/>
          <w:szCs w:val="17"/>
          <w:b w:val="1"/>
          <w:bCs w:val="1"/>
          <w:color w:val="auto"/>
        </w:rPr>
        <w:t>Material Adverse Change</w:t>
      </w:r>
      <w:r>
        <w:rPr>
          <w:rFonts w:ascii="Arial" w:cs="Arial" w:eastAsia="Arial" w:hAnsi="Arial"/>
          <w:sz w:val="17"/>
          <w:szCs w:val="17"/>
          <w:color w:val="auto"/>
        </w:rPr>
        <w:t>”); (ii) the Company has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or has entered into any transactions not in the ordinary course of business; and (iii) there has not been any material decrease in the capital stock or any material increase in any short-term or long-term indebtedness of the Company and there has been no dividend or distribution of any kind declared, paid or made by the Company on any class of capital stock, or any repurchase or redemption by the Company of any class of capital stock.</w:t>
      </w:r>
    </w:p>
    <w:p>
      <w:pPr>
        <w:spacing w:after="0" w:line="181" w:lineRule="exact"/>
        <w:rPr>
          <w:rFonts w:ascii="Arial" w:cs="Arial" w:eastAsia="Arial" w:hAnsi="Arial"/>
          <w:sz w:val="17"/>
          <w:szCs w:val="17"/>
          <w:b w:val="1"/>
          <w:bCs w:val="1"/>
          <w:color w:val="auto"/>
        </w:rPr>
      </w:pPr>
    </w:p>
    <w:p>
      <w:pPr>
        <w:ind w:firstLine="656"/>
        <w:spacing w:after="0" w:line="312" w:lineRule="auto"/>
        <w:tabs>
          <w:tab w:leader="none" w:pos="1519"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Applicable Registration or Other Similar Rights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no persons with registration or other similar rights to have equity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debt securities registered for sale under the Registration Statement or included in the offering contemplated by this Agreement.</w:t>
      </w:r>
    </w:p>
    <w:p>
      <w:pPr>
        <w:spacing w:after="0" w:line="139" w:lineRule="exact"/>
        <w:rPr>
          <w:rFonts w:ascii="Arial" w:cs="Arial" w:eastAsia="Arial" w:hAnsi="Arial"/>
          <w:sz w:val="17"/>
          <w:szCs w:val="17"/>
          <w:b w:val="1"/>
          <w:bCs w:val="1"/>
          <w:color w:val="auto"/>
        </w:rPr>
      </w:pPr>
    </w:p>
    <w:p>
      <w:pPr>
        <w:jc w:val="both"/>
        <w:ind w:firstLine="656"/>
        <w:spacing w:after="0" w:line="258" w:lineRule="auto"/>
        <w:tabs>
          <w:tab w:leader="none" w:pos="149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Independent Accountants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Marcum LLP (“</w:t>
      </w:r>
      <w:r>
        <w:rPr>
          <w:rFonts w:ascii="Arial" w:cs="Arial" w:eastAsia="Arial" w:hAnsi="Arial"/>
          <w:sz w:val="18"/>
          <w:szCs w:val="18"/>
          <w:b w:val="1"/>
          <w:bCs w:val="1"/>
          <w:color w:val="auto"/>
        </w:rPr>
        <w:t>Marcum</w:t>
      </w:r>
      <w:r>
        <w:rPr>
          <w:rFonts w:ascii="Arial" w:cs="Arial" w:eastAsia="Arial" w:hAnsi="Arial"/>
          <w:sz w:val="18"/>
          <w:szCs w:val="18"/>
          <w:color w:val="auto"/>
        </w:rPr>
        <w:t>”), who have certified certain financial statements of the Company and delivered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report with respect to the audited financial statements (which term as used in this Agreement includes the related notes thereto) filed with the Commission as a part of the Registration Statement, the Time of Sale Prospectus and the Prospectus, is a registered public accounting firm that is independent with respect to the Company within the meaning of the Securities Act and the Exchange Act and the applicable published rules and regulations thereunder.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56"/>
        <w:spacing w:after="0" w:line="269" w:lineRule="auto"/>
        <w:tabs>
          <w:tab w:leader="none" w:pos="1684"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Financial Statements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financial statements, including the notes thereto and the supporting schedules, if any, filed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 as a part of the Registration Statement, the Time of Sale Prospectus and the Prospectus present fairly the financial position of the Company as of the dates indicated and the results of their operations, changes in stockholders’ equity and cash flows for the periods specified. Such financial statements and supporting schedules, if any, have been prepared in conformity with generally accepted accounting principles as applied in the United States applied on a consistent basis throughout the periods involved, except as may be expressly stated in the related notes thereto.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captions “Summary - Summary Financial Data” and “Capitalization” fairly present the information set forth therein on a basis consistent with that of the audited financial statements contained in the Registration Statement, the Time of Sale Prospectus and the Prospectus. There are no pro forma or as adjusted financial statements that are required to be included in the Registration Statement, the Time of Sale Prospectus and the Prospectus in accordance with Regulation S-X that have not been included as so required.</w:t>
      </w:r>
    </w:p>
    <w:p>
      <w:pPr>
        <w:spacing w:after="0" w:line="182" w:lineRule="exact"/>
        <w:rPr>
          <w:sz w:val="20"/>
          <w:szCs w:val="20"/>
          <w:color w:val="auto"/>
        </w:rPr>
      </w:pPr>
    </w:p>
    <w:p>
      <w:pPr>
        <w:jc w:val="both"/>
        <w:ind w:firstLine="656"/>
        <w:spacing w:after="0" w:line="313" w:lineRule="auto"/>
        <w:tabs>
          <w:tab w:leader="none" w:pos="1218" w:val="left"/>
        </w:tabs>
        <w:numPr>
          <w:ilvl w:val="1"/>
          <w:numId w:val="9"/>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Company’s Accounting System</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Company makes and keeps accurate books and records and maintains a system of internal accounting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controls sufficient to provide reasonable assurance that: (i) transactions are executed in accordance with management’s general or specific authorization;</w:t>
      </w:r>
    </w:p>
    <w:p>
      <w:pPr>
        <w:jc w:val="both"/>
        <w:ind w:firstLine="8"/>
        <w:spacing w:after="0" w:line="253" w:lineRule="auto"/>
        <w:tabs>
          <w:tab w:leader="none" w:pos="2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8" w:lineRule="exact"/>
        <w:rPr>
          <w:rFonts w:ascii="Arial" w:cs="Arial" w:eastAsia="Arial" w:hAnsi="Arial"/>
          <w:sz w:val="18"/>
          <w:szCs w:val="18"/>
          <w:color w:val="auto"/>
        </w:rPr>
      </w:pPr>
    </w:p>
    <w:p>
      <w:pPr>
        <w:ind w:firstLine="656"/>
        <w:spacing w:after="0" w:line="347" w:lineRule="auto"/>
        <w:tabs>
          <w:tab w:leader="none" w:pos="1427" w:val="left"/>
        </w:tabs>
        <w:numPr>
          <w:ilvl w:val="1"/>
          <w:numId w:val="1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Disclosure Controls and Procedures; Deficiencies in or Changes to Internal Control Over Financial Reporting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maintains “disclosure controls and procedures” as defined under Rule 13a-15(e) under the Exchange Act, to the extent required by such rule.</w:t>
      </w:r>
    </w:p>
    <w:p>
      <w:pPr>
        <w:spacing w:after="0" w:line="115" w:lineRule="exact"/>
        <w:rPr>
          <w:rFonts w:ascii="Arial" w:cs="Arial" w:eastAsia="Arial" w:hAnsi="Arial"/>
          <w:sz w:val="16"/>
          <w:szCs w:val="16"/>
          <w:b w:val="1"/>
          <w:bCs w:val="1"/>
          <w:color w:val="auto"/>
        </w:rPr>
      </w:pPr>
    </w:p>
    <w:p>
      <w:pPr>
        <w:jc w:val="both"/>
        <w:ind w:firstLine="656"/>
        <w:spacing w:after="0" w:line="258" w:lineRule="auto"/>
        <w:tabs>
          <w:tab w:leader="none" w:pos="1319"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the Sarbanes-Oxley 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Solely to the extent that the Sarbanes-Oxley Act of 2002, as amended, and the rules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promulgated by the Commission and the Nasdaq thereunder (the “</w:t>
      </w:r>
      <w:r>
        <w:rPr>
          <w:rFonts w:ascii="Arial" w:cs="Arial" w:eastAsia="Arial" w:hAnsi="Arial"/>
          <w:sz w:val="18"/>
          <w:szCs w:val="18"/>
          <w:b w:val="1"/>
          <w:bCs w:val="1"/>
          <w:color w:val="auto"/>
        </w:rPr>
        <w:t>Sarbanes-Oxley Act</w:t>
      </w:r>
      <w:r>
        <w:rPr>
          <w:rFonts w:ascii="Arial" w:cs="Arial" w:eastAsia="Arial" w:hAnsi="Arial"/>
          <w:sz w:val="18"/>
          <w:szCs w:val="18"/>
          <w:color w:val="auto"/>
        </w:rPr>
        <w:t>”) has been applicable to the Company, there is and has been no failure on the part of the Company to comply in all material respects with any provision of the Sarbanes-Oxley Act. The Company has taken all necessary actions to ensure that it is in compliance with all provisions of the Sarbanes-Oxley Act that are in effect and with which the Company is required to comply.</w:t>
      </w:r>
    </w:p>
    <w:p>
      <w:pPr>
        <w:spacing w:after="0" w:line="183" w:lineRule="exact"/>
        <w:rPr>
          <w:rFonts w:ascii="Arial" w:cs="Arial" w:eastAsia="Arial" w:hAnsi="Arial"/>
          <w:sz w:val="18"/>
          <w:szCs w:val="18"/>
          <w:b w:val="1"/>
          <w:bCs w:val="1"/>
          <w:color w:val="auto"/>
        </w:rPr>
      </w:pPr>
    </w:p>
    <w:p>
      <w:pPr>
        <w:jc w:val="both"/>
        <w:ind w:firstLine="656"/>
        <w:spacing w:after="0" w:line="274" w:lineRule="auto"/>
        <w:tabs>
          <w:tab w:leader="none" w:pos="1278" w:val="left"/>
        </w:tabs>
        <w:numPr>
          <w:ilvl w:val="1"/>
          <w:numId w:val="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Compliance with the Nasdaq Rules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is and has been no failure on the part of the Company or, to the knowledge 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of the Company’s officers or directors, in their capacities as such, to comply with (as and when applicable), and immediately following the Effective Date, the Company will be in compliance with, Nasdaq Marketplace Rules IM-5605. Further, there is and has been no failure on the part of the Company or, to the knowledge of the Company, any of the Company’s officers or directors, in their capacities as such, to comply with (as and when applicable), and immediately following the Effective Date, the Company will be in compliance with, the phase-in requirements and all other provisions of the Nasdaq Stock Market LLC corporate governance requirements set forth in the Nasdaq Marketplace Rules.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56"/>
        <w:spacing w:after="0" w:line="261" w:lineRule="auto"/>
        <w:tabs>
          <w:tab w:leader="none" w:pos="1197"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Fees Related to this Agreement or the Offering of Offered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transfer, stamp, issue, registration, documentary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similar taxes, duties, fees or charges under U.S. federal law or the laws of any state, or any political subdivision thereof, or under the laws of any non-U.S. jurisdiction, required to be paid in connection with the execution and delivery of this Agreement or the issuance or sale by the Company of the Offered Securities.</w:t>
      </w:r>
    </w:p>
    <w:p>
      <w:pPr>
        <w:spacing w:after="0" w:line="179" w:lineRule="exact"/>
        <w:rPr>
          <w:rFonts w:ascii="Arial" w:cs="Arial" w:eastAsia="Arial" w:hAnsi="Arial"/>
          <w:sz w:val="18"/>
          <w:szCs w:val="18"/>
          <w:b w:val="1"/>
          <w:bCs w:val="1"/>
          <w:color w:val="auto"/>
        </w:rPr>
      </w:pPr>
    </w:p>
    <w:p>
      <w:pPr>
        <w:jc w:val="both"/>
        <w:ind w:firstLine="656"/>
        <w:spacing w:after="0" w:line="255" w:lineRule="auto"/>
        <w:tabs>
          <w:tab w:leader="none" w:pos="127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Incorporation and Good Standing of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been duly incorporated and is validly existing as a corporation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 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Trust Agreement, the Warrant Agreement, the Subscription Agreement, the Warrant Subscription Agreement, the Registration Rights Agreement, the Insider Letter and the Administrative Support Agreement. The Company is duly qualified as a foreign corporation to transact business and is in good standing in each jurisdiction in which such qualification is required, whether by reason of the ownership or leasing of property or the conduct of business.</w:t>
      </w:r>
    </w:p>
    <w:p>
      <w:pPr>
        <w:spacing w:after="0" w:line="188" w:lineRule="exact"/>
        <w:rPr>
          <w:rFonts w:ascii="Arial" w:cs="Arial" w:eastAsia="Arial" w:hAnsi="Arial"/>
          <w:sz w:val="18"/>
          <w:szCs w:val="18"/>
          <w:b w:val="1"/>
          <w:bCs w:val="1"/>
          <w:color w:val="auto"/>
        </w:rPr>
      </w:pPr>
    </w:p>
    <w:p>
      <w:pPr>
        <w:ind w:firstLine="656"/>
        <w:spacing w:after="0" w:line="282" w:lineRule="auto"/>
        <w:tabs>
          <w:tab w:leader="none" w:pos="1339"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Interests in Other Entities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own or control, directly or indirectly, an interest in any corporation, partnership,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limited liability company, joint venture, trust or other entity.</w:t>
      </w:r>
    </w:p>
    <w:p>
      <w:pPr>
        <w:spacing w:after="0" w:line="161" w:lineRule="exact"/>
        <w:rPr>
          <w:rFonts w:ascii="Arial" w:cs="Arial" w:eastAsia="Arial" w:hAnsi="Arial"/>
          <w:sz w:val="18"/>
          <w:szCs w:val="18"/>
          <w:b w:val="1"/>
          <w:bCs w:val="1"/>
          <w:color w:val="auto"/>
        </w:rPr>
      </w:pPr>
    </w:p>
    <w:p>
      <w:pPr>
        <w:jc w:val="both"/>
        <w:ind w:firstLine="656"/>
        <w:spacing w:after="0" w:line="289" w:lineRule="auto"/>
        <w:tabs>
          <w:tab w:leader="none" w:pos="1292"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Capitalization and Other Capital Stock Matters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authorized, issued and outstanding capital stock of the Company is as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share capital of the Company conforms in all material respects to the description thereof in the Time of Sale Prospectus, the Registration Statement and the Prospectus. All of the issued and outstanding securities of the Company have been duly authorized and validly issued, are fully paid and non-assessable and have been issued in compliance with all federal and state securities laws. None of the outstanding securities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other than those described in the Registration Statement, the Time of Sale Prospectus and the Prospectus.</w:t>
      </w:r>
    </w:p>
    <w:p>
      <w:pPr>
        <w:spacing w:after="0" w:line="166" w:lineRule="exact"/>
        <w:rPr>
          <w:rFonts w:ascii="Arial" w:cs="Arial" w:eastAsia="Arial" w:hAnsi="Arial"/>
          <w:sz w:val="16"/>
          <w:szCs w:val="16"/>
          <w:b w:val="1"/>
          <w:bCs w:val="1"/>
          <w:color w:val="auto"/>
        </w:rPr>
      </w:pPr>
    </w:p>
    <w:p>
      <w:pPr>
        <w:jc w:val="both"/>
        <w:ind w:firstLine="656"/>
        <w:spacing w:after="0" w:line="266" w:lineRule="auto"/>
        <w:tabs>
          <w:tab w:leader="none" w:pos="1543"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Sale of Securities of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securities of the Company have been sold by the Company or by or on behalf of, or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of, any person or persons controlling, controlled by, or under common control with the Company from its inception through and including the date hereof, except as disclosed in the Registration Statement, the Time of Sale Prospectus and the Prospectus.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right="20" w:firstLine="656"/>
        <w:spacing w:after="0" w:line="266" w:lineRule="auto"/>
        <w:tabs>
          <w:tab w:leader="none" w:pos="1157"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“Penny Stock”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delivery and payment for the Units on the First Closing Date and any Option Closing Dates,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not be subject to Rule 419 under the Securities Act and none of the Company’s outstanding securities will be deemed to be a “penny stock” as defined in Rule 3a51-1 under the Exchange Act.</w:t>
      </w:r>
    </w:p>
    <w:p>
      <w:pPr>
        <w:spacing w:after="0" w:line="175" w:lineRule="exact"/>
        <w:rPr>
          <w:rFonts w:ascii="Arial" w:cs="Arial" w:eastAsia="Arial" w:hAnsi="Arial"/>
          <w:sz w:val="18"/>
          <w:szCs w:val="18"/>
          <w:b w:val="1"/>
          <w:bCs w:val="1"/>
          <w:color w:val="auto"/>
        </w:rPr>
      </w:pPr>
    </w:p>
    <w:p>
      <w:pPr>
        <w:jc w:val="both"/>
        <w:ind w:firstLine="656"/>
        <w:spacing w:after="0" w:line="284" w:lineRule="auto"/>
        <w:tabs>
          <w:tab w:leader="none" w:pos="1251"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Non-Contravention of Existing Instruments; No Further Authorizations or Approvals Required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is not in violation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charter or by-laws or is in default (or, with the giving of notice or lapse of time, would be in default) (“</w:t>
      </w:r>
      <w:r>
        <w:rPr>
          <w:rFonts w:ascii="Arial" w:cs="Arial" w:eastAsia="Arial" w:hAnsi="Arial"/>
          <w:sz w:val="16"/>
          <w:szCs w:val="16"/>
          <w:b w:val="1"/>
          <w:bCs w:val="1"/>
          <w:color w:val="auto"/>
        </w:rPr>
        <w:t>Default</w:t>
      </w:r>
      <w:r>
        <w:rPr>
          <w:rFonts w:ascii="Arial" w:cs="Arial" w:eastAsia="Arial" w:hAnsi="Arial"/>
          <w:sz w:val="16"/>
          <w:szCs w:val="16"/>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is a party or by which it may be bound, or to which any of the Company’s properties or assets are subject (each, an “</w:t>
      </w:r>
      <w:r>
        <w:rPr>
          <w:rFonts w:ascii="Arial" w:cs="Arial" w:eastAsia="Arial" w:hAnsi="Arial"/>
          <w:sz w:val="16"/>
          <w:szCs w:val="16"/>
          <w:b w:val="1"/>
          <w:bCs w:val="1"/>
          <w:color w:val="auto"/>
        </w:rPr>
        <w:t>Existing Instrument</w:t>
      </w:r>
      <w:r>
        <w:rPr>
          <w:rFonts w:ascii="Arial" w:cs="Arial" w:eastAsia="Arial" w:hAnsi="Arial"/>
          <w:sz w:val="16"/>
          <w:szCs w:val="16"/>
          <w:color w:val="auto"/>
        </w:rPr>
        <w:t>”), except for such Defaults as could not be expected, individually or in the aggregate, to have a material adverse effect on the financial condition, earnings, business, properties, operations, assets, liabilities or prospects of the Company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 The Company’s execution, delivery and performance of this Agreement, the Trust Agreement, the Warrant Agreement, the Subscription Agreement, the Warrant Subscription Agreement, the Registration Rights Agreement, the Insider Letter or the Administrative Support Agreement, consummation of the transactions contemplated hereby and by the Registration Statement, the Time of Sale Prospectus and the Prospectus and the issuance and sale of the Offered Securities (including the use of proceeds from the sale of the Offered Securities as described in the Registration Statement, the Time of Sale Prospectus and the Prospectus under the caption “Use of Proceeds”) (i) have been duly authorized by all necessary corporate action and will not result in any violation of the provisions of the charter or by-laws of the Company (ii) will not conflict with or constitute a breach of, or Default or a Debt Repayment Triggering Event (as defined below) under, or result in the creation or imposition of any lien, charge or encumbrance upon any property or assets of the Company pursuant to, or require the consent of any other party to, any Existing Instrument and (iii) will not result in any violation of any law, administrative regulation or administrative or court decree applicable to the Company. No consent, approval, authorization or other order of, or registration or filing with, any court or other governmental or regulatory authority or agency, is required for, or in connection with, the Company’s execution, delivery and performance of this Agreement, the Trust Agreement, the Warrant Agreement, the Subscription Agreement, the Warrant Subscription Agreement, the Registration Rights Agreement, the Insider Letter or the Administrative Support Agreement and consummation of the transactions contemplated hereby and by the Registration Statement, the Time of Sale Prospectus and the Prospectus, except such as have been obtained or made by the Company and are in full force and effect under the Securities Act and such as may be required under applicable state securities or blue sky laws or the Financial Industry Regulatory Authority, Inc. (the “</w:t>
      </w:r>
      <w:r>
        <w:rPr>
          <w:rFonts w:ascii="Arial" w:cs="Arial" w:eastAsia="Arial" w:hAnsi="Arial"/>
          <w:sz w:val="16"/>
          <w:szCs w:val="16"/>
          <w:b w:val="1"/>
          <w:bCs w:val="1"/>
          <w:color w:val="auto"/>
        </w:rPr>
        <w:t>FINRA</w:t>
      </w:r>
      <w:r>
        <w:rPr>
          <w:rFonts w:ascii="Arial" w:cs="Arial" w:eastAsia="Arial" w:hAnsi="Arial"/>
          <w:sz w:val="16"/>
          <w:szCs w:val="16"/>
          <w:color w:val="auto"/>
        </w:rPr>
        <w:t>”). As used herein, a “</w:t>
      </w:r>
      <w:r>
        <w:rPr>
          <w:rFonts w:ascii="Arial" w:cs="Arial" w:eastAsia="Arial" w:hAnsi="Arial"/>
          <w:sz w:val="16"/>
          <w:szCs w:val="16"/>
          <w:b w:val="1"/>
          <w:bCs w:val="1"/>
          <w:color w:val="auto"/>
        </w:rPr>
        <w:t>Debt Repayment</w:t>
      </w:r>
      <w:r>
        <w:rPr>
          <w:rFonts w:ascii="Arial" w:cs="Arial" w:eastAsia="Arial" w:hAnsi="Arial"/>
          <w:sz w:val="16"/>
          <w:szCs w:val="16"/>
          <w:color w:val="auto"/>
        </w:rPr>
        <w:t xml:space="preserve"> </w:t>
      </w:r>
      <w:r>
        <w:rPr>
          <w:rFonts w:ascii="Arial" w:cs="Arial" w:eastAsia="Arial" w:hAnsi="Arial"/>
          <w:sz w:val="16"/>
          <w:szCs w:val="16"/>
          <w:b w:val="1"/>
          <w:bCs w:val="1"/>
          <w:color w:val="auto"/>
        </w:rPr>
        <w:t>Triggering Event</w:t>
      </w:r>
      <w:r>
        <w:rPr>
          <w:rFonts w:ascii="Arial" w:cs="Arial" w:eastAsia="Arial" w:hAnsi="Arial"/>
          <w:sz w:val="16"/>
          <w:szCs w:val="16"/>
          <w:color w:val="auto"/>
        </w:rPr>
        <w:t>” means any event or condition which gives, or with the giving of notice or lapse of time would give, the holder of any note, debenture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evidence of indebtedness (or any person acting on such holder’s behalf) the right to require the repurchase, redemption or repayment of all or a portion of such indebtedness by the Company.</w:t>
      </w:r>
    </w:p>
    <w:p>
      <w:pPr>
        <w:spacing w:after="0" w:line="396" w:lineRule="exact"/>
        <w:rPr>
          <w:rFonts w:ascii="Arial" w:cs="Arial" w:eastAsia="Arial" w:hAnsi="Arial"/>
          <w:sz w:val="16"/>
          <w:szCs w:val="16"/>
          <w:b w:val="1"/>
          <w:bCs w:val="1"/>
          <w:color w:val="auto"/>
        </w:rPr>
      </w:pPr>
    </w:p>
    <w:p>
      <w:pPr>
        <w:ind w:right="20" w:firstLine="656"/>
        <w:spacing w:after="0" w:line="277" w:lineRule="auto"/>
        <w:tabs>
          <w:tab w:leader="none" w:pos="125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Laws. </w:t>
      </w:r>
      <w:r>
        <w:rPr>
          <w:rFonts w:ascii="Arial" w:cs="Arial" w:eastAsia="Arial" w:hAnsi="Arial"/>
          <w:sz w:val="18"/>
          <w:szCs w:val="18"/>
          <w:color w:val="auto"/>
        </w:rPr>
        <w:t>The Company has been and is in compliance with all applicable laws, rules and regulations, except where failure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so in compliance could not be expected, individually or in the aggregate, to have a Material Adverse Effect.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56"/>
        <w:spacing w:after="0" w:line="274" w:lineRule="auto"/>
        <w:tabs>
          <w:tab w:leader="none" w:pos="1292"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Material Actions or Proceedings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is no action, suit, proceeding, inquiry or investigation brought by or before any governmental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entity now pending or, to the knowledge of the Company, threatened, against or affecting the Company or the Sponsor, which could be expected, individually or in the aggregate, to have a Material Adverse Effect or materially and adversely affect the consummation of the transactions contemplated by this Agreement, the Trust Agreement, the Warrant Agreement, the Subscription Agreement, the Warrant Subscription Agreement, the Registration Rights Agreement, the Insider Letter or the Administrative Support Agreement or the performance by the Company of its obligations hereunder. No material labor dispute with the employees of the Company exists or, to the knowledge of the Company, is threatened or imminent.</w:t>
      </w:r>
    </w:p>
    <w:p>
      <w:pPr>
        <w:spacing w:after="0" w:line="173" w:lineRule="exact"/>
        <w:rPr>
          <w:rFonts w:ascii="Arial" w:cs="Arial" w:eastAsia="Arial" w:hAnsi="Arial"/>
          <w:sz w:val="17"/>
          <w:szCs w:val="17"/>
          <w:b w:val="1"/>
          <w:bCs w:val="1"/>
          <w:color w:val="auto"/>
        </w:rPr>
      </w:pPr>
    </w:p>
    <w:p>
      <w:pPr>
        <w:jc w:val="both"/>
        <w:ind w:firstLine="656"/>
        <w:spacing w:after="0" w:line="314" w:lineRule="auto"/>
        <w:tabs>
          <w:tab w:leader="none" w:pos="1319"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Intellectual Property Rights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does not own or possess any inventions, patent applications, patents, trademarks (whether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registered or unregistered), trade names, service names, copyrights, trade secrets or other proprietary information owned or licensed by it; the Company has not infringed or is infringing the intellectual property of a third party, and the Company has not received notice of a claim by a third party to the contrary.</w:t>
      </w:r>
    </w:p>
    <w:p>
      <w:pPr>
        <w:spacing w:after="0" w:line="141" w:lineRule="exact"/>
        <w:rPr>
          <w:rFonts w:ascii="Arial" w:cs="Arial" w:eastAsia="Arial" w:hAnsi="Arial"/>
          <w:sz w:val="16"/>
          <w:szCs w:val="16"/>
          <w:b w:val="1"/>
          <w:bCs w:val="1"/>
          <w:color w:val="auto"/>
        </w:rPr>
      </w:pPr>
    </w:p>
    <w:p>
      <w:pPr>
        <w:jc w:val="both"/>
        <w:ind w:firstLine="656"/>
        <w:spacing w:after="0" w:line="298" w:lineRule="auto"/>
        <w:tabs>
          <w:tab w:leader="none" w:pos="154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All Necessary Permits, etc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possesses such valid and current certificates, authorizations or permits required by state,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federal or foreign regulatory agencies or bodies to conduct its business as currently conducted and as described in the Registration Statement, the Time of Sale Prospectus or the Prospectus (“</w:t>
      </w:r>
      <w:r>
        <w:rPr>
          <w:rFonts w:ascii="Arial" w:cs="Arial" w:eastAsia="Arial" w:hAnsi="Arial"/>
          <w:sz w:val="16"/>
          <w:szCs w:val="16"/>
          <w:b w:val="1"/>
          <w:bCs w:val="1"/>
          <w:color w:val="auto"/>
        </w:rPr>
        <w:t>Permits</w:t>
      </w:r>
      <w:r>
        <w:rPr>
          <w:rFonts w:ascii="Arial" w:cs="Arial" w:eastAsia="Arial" w:hAnsi="Arial"/>
          <w:sz w:val="16"/>
          <w:szCs w:val="16"/>
          <w:color w:val="auto"/>
        </w:rPr>
        <w:t>”). The Company is not in violation of, or in default under, any of the Permits and has not received any notice of proceedings relating to the revocation or modification of, or non-compliance with, any such certificate, authorization or permit that, individually or in the aggregate, if the subject of an unfavorable decision, ruling or finding, could reasonably be expected to have a Material Adverse Effect.</w:t>
      </w:r>
    </w:p>
    <w:p>
      <w:pPr>
        <w:spacing w:after="0" w:line="153" w:lineRule="exact"/>
        <w:rPr>
          <w:rFonts w:ascii="Arial" w:cs="Arial" w:eastAsia="Arial" w:hAnsi="Arial"/>
          <w:sz w:val="16"/>
          <w:szCs w:val="16"/>
          <w:b w:val="1"/>
          <w:bCs w:val="1"/>
          <w:color w:val="auto"/>
        </w:rPr>
      </w:pPr>
    </w:p>
    <w:p>
      <w:pPr>
        <w:ind w:left="1400" w:hanging="744"/>
        <w:spacing w:after="0"/>
        <w:tabs>
          <w:tab w:leader="none" w:pos="140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Title to Properties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owns or leases all such properties as are necessary to the conduct of its operations as presently</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conducted.</w:t>
      </w:r>
    </w:p>
    <w:p>
      <w:pPr>
        <w:spacing w:after="0" w:line="206" w:lineRule="exact"/>
        <w:rPr>
          <w:rFonts w:ascii="Arial" w:cs="Arial" w:eastAsia="Arial" w:hAnsi="Arial"/>
          <w:sz w:val="16"/>
          <w:szCs w:val="16"/>
          <w:b w:val="1"/>
          <w:bCs w:val="1"/>
          <w:color w:val="auto"/>
        </w:rPr>
      </w:pPr>
    </w:p>
    <w:p>
      <w:pPr>
        <w:jc w:val="both"/>
        <w:ind w:firstLine="656"/>
        <w:spacing w:after="0" w:line="277" w:lineRule="auto"/>
        <w:tabs>
          <w:tab w:leader="none" w:pos="1305"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Tax Law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filed all necessary federal, state and foreign income and franchise tax returns or has properly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requested extensions thereof and has paid all taxes required to be paid by it and, if due and payable, any related or similar assessment, fine or penalty levied against it except as may be being contested in good faith and by appropriate proceedings. The Company has made adequate charges, accruals and reserves in the applicable financial statements referred to in Section 1(z) above in respect of all federal, state and foreign income and franchise taxes for all periods as to which the tax liability of the Company has not been finally determined.</w:t>
      </w:r>
    </w:p>
    <w:p>
      <w:pPr>
        <w:spacing w:after="0" w:line="167" w:lineRule="exact"/>
        <w:rPr>
          <w:rFonts w:ascii="Arial" w:cs="Arial" w:eastAsia="Arial" w:hAnsi="Arial"/>
          <w:sz w:val="17"/>
          <w:szCs w:val="17"/>
          <w:b w:val="1"/>
          <w:bCs w:val="1"/>
          <w:color w:val="auto"/>
        </w:rPr>
      </w:pPr>
    </w:p>
    <w:p>
      <w:pPr>
        <w:ind w:firstLine="656"/>
        <w:spacing w:after="0" w:line="282" w:lineRule="auto"/>
        <w:tabs>
          <w:tab w:leader="none" w:pos="134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ERISA Compliance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not established or maintained any “employee benefit plan” (as defined under the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and thus is not subject to ERISA.</w:t>
      </w:r>
    </w:p>
    <w:p>
      <w:pPr>
        <w:spacing w:after="0" w:line="161" w:lineRule="exact"/>
        <w:rPr>
          <w:rFonts w:ascii="Arial" w:cs="Arial" w:eastAsia="Arial" w:hAnsi="Arial"/>
          <w:sz w:val="18"/>
          <w:szCs w:val="18"/>
          <w:b w:val="1"/>
          <w:bCs w:val="1"/>
          <w:color w:val="auto"/>
        </w:rPr>
      </w:pPr>
    </w:p>
    <w:p>
      <w:pPr>
        <w:jc w:val="both"/>
        <w:ind w:firstLine="656"/>
        <w:spacing w:after="0" w:line="281" w:lineRule="auto"/>
        <w:tabs>
          <w:tab w:leader="none" w:pos="1245"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Insurance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than directors’ and officers’ liability insurance, the Company does not maintain any insurance covering its operations,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personnel and businesses; such directors’ and officers’ liability insurance is in full force and effect on the date hereof and will be in full force and effect at the time of purchase and each additional time of purchase, if any; the Company does not have reason to believe that it will not be able to (i) renew any such insurance as and when such insurance expires or (ii) obtain comparable coverage from similar institutions.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right="20" w:firstLine="656"/>
        <w:spacing w:after="0" w:line="311" w:lineRule="auto"/>
        <w:tabs>
          <w:tab w:leader="none" w:pos="1184" w:val="left"/>
        </w:tabs>
        <w:numPr>
          <w:ilvl w:val="1"/>
          <w:numId w:val="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Company Not an “Investment Company.” </w:t>
      </w:r>
      <w:r>
        <w:rPr>
          <w:rFonts w:ascii="Arial" w:cs="Arial" w:eastAsia="Arial" w:hAnsi="Arial"/>
          <w:sz w:val="16"/>
          <w:szCs w:val="16"/>
          <w:color w:val="auto"/>
        </w:rPr>
        <w:t>The Company is not, and will not be, either after receipt of payment for the Offered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or 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w:t>
      </w:r>
    </w:p>
    <w:p>
      <w:pPr>
        <w:spacing w:after="0" w:line="144" w:lineRule="exact"/>
        <w:rPr>
          <w:rFonts w:ascii="Arial" w:cs="Arial" w:eastAsia="Arial" w:hAnsi="Arial"/>
          <w:sz w:val="16"/>
          <w:szCs w:val="16"/>
          <w:b w:val="1"/>
          <w:bCs w:val="1"/>
          <w:color w:val="auto"/>
        </w:rPr>
      </w:pPr>
    </w:p>
    <w:p>
      <w:pPr>
        <w:jc w:val="both"/>
        <w:ind w:firstLine="656"/>
        <w:spacing w:after="0" w:line="281" w:lineRule="auto"/>
        <w:tabs>
          <w:tab w:leader="none" w:pos="1238" w:val="left"/>
        </w:tabs>
        <w:numPr>
          <w:ilvl w:val="1"/>
          <w:numId w:val="1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Price Stabilization or Manipulation; Compliance with Regulation 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None of the Company, the Sponsor, or, to the knowledge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any of their respective directors or officers, affiliates or controlling persons has taken, directly or indirectly, any action designed to or that might cause or result in stabilization or manipulation of the price of any security of the Company, whether to facilitate the sale or resale of the Offered Securities or otherwise, which would directly or indirectly violate Regulation M under the Exchange Act (“</w:t>
      </w:r>
      <w:r>
        <w:rPr>
          <w:rFonts w:ascii="Arial" w:cs="Arial" w:eastAsia="Arial" w:hAnsi="Arial"/>
          <w:sz w:val="17"/>
          <w:szCs w:val="17"/>
          <w:b w:val="1"/>
          <w:bCs w:val="1"/>
          <w:color w:val="auto"/>
        </w:rPr>
        <w:t>Regulation M</w:t>
      </w:r>
      <w:r>
        <w:rPr>
          <w:rFonts w:ascii="Arial" w:cs="Arial" w:eastAsia="Arial" w:hAnsi="Arial"/>
          <w:sz w:val="17"/>
          <w:szCs w:val="17"/>
          <w:color w:val="auto"/>
        </w:rPr>
        <w:t>”).</w:t>
      </w:r>
    </w:p>
    <w:p>
      <w:pPr>
        <w:spacing w:after="0" w:line="164" w:lineRule="exact"/>
        <w:rPr>
          <w:rFonts w:ascii="Arial" w:cs="Arial" w:eastAsia="Arial" w:hAnsi="Arial"/>
          <w:sz w:val="17"/>
          <w:szCs w:val="17"/>
          <w:b w:val="1"/>
          <w:bCs w:val="1"/>
          <w:color w:val="auto"/>
        </w:rPr>
      </w:pPr>
    </w:p>
    <w:p>
      <w:pPr>
        <w:ind w:firstLine="656"/>
        <w:spacing w:after="0" w:line="347" w:lineRule="auto"/>
        <w:tabs>
          <w:tab w:leader="none" w:pos="1245" w:val="left"/>
        </w:tabs>
        <w:numPr>
          <w:ilvl w:val="1"/>
          <w:numId w:val="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Related-Party Transactions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no business relationships or related-party transactions involving the Company or any other person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to be described in the Registration Statement, the Time of Sale Prospectus or the Prospectus that have not been described as required.</w:t>
      </w:r>
    </w:p>
    <w:p>
      <w:pPr>
        <w:spacing w:after="0" w:line="115" w:lineRule="exact"/>
        <w:rPr>
          <w:rFonts w:ascii="Arial" w:cs="Arial" w:eastAsia="Arial" w:hAnsi="Arial"/>
          <w:sz w:val="16"/>
          <w:szCs w:val="16"/>
          <w:b w:val="1"/>
          <w:bCs w:val="1"/>
          <w:color w:val="auto"/>
        </w:rPr>
      </w:pPr>
    </w:p>
    <w:p>
      <w:pPr>
        <w:jc w:val="both"/>
        <w:ind w:firstLine="656"/>
        <w:spacing w:after="0" w:line="261" w:lineRule="auto"/>
        <w:tabs>
          <w:tab w:leader="none" w:pos="1324"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FINRA Matters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the information provided to the Underwriters or to counsel for the Underwriters by the Company, its counsel,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directors, director nominees, Sponsor and the holders of any securities (debt or equity) or options to acquire any securities of the Company in connection with the Offering is true, complete, correct and compliant with FINRA’s rules and any letters, filings or other supplemental information provided to FINRA pursuant to FINRA Rules is true, complete and correct.</w:t>
      </w:r>
    </w:p>
    <w:p>
      <w:pPr>
        <w:spacing w:after="0" w:line="179" w:lineRule="exact"/>
        <w:rPr>
          <w:rFonts w:ascii="Arial" w:cs="Arial" w:eastAsia="Arial" w:hAnsi="Arial"/>
          <w:sz w:val="18"/>
          <w:szCs w:val="18"/>
          <w:b w:val="1"/>
          <w:bCs w:val="1"/>
          <w:color w:val="auto"/>
        </w:rPr>
      </w:pPr>
    </w:p>
    <w:p>
      <w:pPr>
        <w:ind w:left="1520" w:hanging="864"/>
        <w:spacing w:after="0"/>
        <w:tabs>
          <w:tab w:leader="none" w:pos="1520" w:val="left"/>
        </w:tabs>
        <w:numPr>
          <w:ilvl w:val="1"/>
          <w:numId w:val="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FINRA Conflict of Interest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Company’s knowledge after reasonable inquiry, there are no affiliations or associations between</w:t>
      </w:r>
    </w:p>
    <w:p>
      <w:pPr>
        <w:spacing w:after="0" w:line="50" w:lineRule="exact"/>
        <w:rPr>
          <w:rFonts w:ascii="Arial" w:cs="Arial" w:eastAsia="Arial" w:hAnsi="Arial"/>
          <w:sz w:val="16"/>
          <w:szCs w:val="16"/>
          <w:b w:val="1"/>
          <w:bCs w:val="1"/>
          <w:color w:val="auto"/>
        </w:rPr>
      </w:pPr>
    </w:p>
    <w:p>
      <w:pPr>
        <w:jc w:val="both"/>
        <w:ind w:firstLine="8"/>
        <w:spacing w:after="0" w:line="253" w:lineRule="auto"/>
        <w:tabs>
          <w:tab w:leader="none" w:pos="2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member of FINRA and (ii) the Company or any of the Company’s officers, directors or 5% or greater security holders or any beneficial owner of the Company’s unregistered equity securities that were acquired at any time on or after the 180th day immediately preceding the date the Registration Statement was initially filed with the Commission, except as disclosed in the Registration Statement (excluding the exhibits thereto), the Time of Sale Prospectus and the Prospectus.</w:t>
      </w:r>
    </w:p>
    <w:p>
      <w:pPr>
        <w:spacing w:after="0" w:line="188" w:lineRule="exact"/>
        <w:rPr>
          <w:rFonts w:ascii="Arial" w:cs="Arial" w:eastAsia="Arial" w:hAnsi="Arial"/>
          <w:sz w:val="18"/>
          <w:szCs w:val="18"/>
          <w:color w:val="auto"/>
        </w:rPr>
      </w:pPr>
    </w:p>
    <w:p>
      <w:pPr>
        <w:jc w:val="both"/>
        <w:ind w:firstLine="656"/>
        <w:spacing w:after="0" w:line="289" w:lineRule="auto"/>
        <w:tabs>
          <w:tab w:leader="none" w:pos="1272" w:val="left"/>
        </w:tabs>
        <w:numPr>
          <w:ilvl w:val="1"/>
          <w:numId w:val="1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Statistical and Market-Related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statistical, industry-related and market-related data included in the Registration Statement,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Time of Sale Prospectus or the Prospectus are based on or derived from sources that the Company believes, after reasonable inquiry, to be reliable and accurate. To the extent required, the Company has obtained the written consent to the use of such data from such sources.</w:t>
      </w:r>
    </w:p>
    <w:p>
      <w:pPr>
        <w:spacing w:after="0" w:line="157" w:lineRule="exact"/>
        <w:rPr>
          <w:rFonts w:ascii="Arial" w:cs="Arial" w:eastAsia="Arial" w:hAnsi="Arial"/>
          <w:sz w:val="17"/>
          <w:szCs w:val="17"/>
          <w:b w:val="1"/>
          <w:bCs w:val="1"/>
          <w:color w:val="auto"/>
        </w:rPr>
      </w:pPr>
    </w:p>
    <w:p>
      <w:pPr>
        <w:jc w:val="both"/>
        <w:ind w:firstLine="656"/>
        <w:spacing w:after="0" w:line="261" w:lineRule="auto"/>
        <w:tabs>
          <w:tab w:leader="none" w:pos="1305"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Unlawful Contributions or Other Payments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Company, the Sponsor, or, to the knowledge of the Company after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inquiry, any director, director nominee, officer, agent, employee, affiliate or other person associated with or acting on behalf of the Company, has made any contribution or other payment to any official of, or candidate for, any federal, state or foreign office in violation of any law or of the character required to be disclosed in the Registration Statement, the Time of Sale Prospectus or the Prospectus.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56"/>
        <w:spacing w:after="0" w:line="270" w:lineRule="auto"/>
        <w:tabs>
          <w:tab w:leader="none" w:pos="1321"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Foreign Corrupt Practices Act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None of the Company, the Sponsor, or, to the knowledge of the Company after due inquiry, any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nominee, officer, agent, employee, affiliate or other person associated with or acting on behalf of the Company, has, in the course of its, his or her actions for, or on behalf of, the Company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Arial" w:cs="Arial" w:eastAsia="Arial" w:hAnsi="Arial"/>
          <w:sz w:val="17"/>
          <w:szCs w:val="17"/>
          <w:b w:val="1"/>
          <w:bCs w:val="1"/>
          <w:color w:val="auto"/>
        </w:rPr>
        <w:t>FCPA</w:t>
      </w:r>
      <w:r>
        <w:rPr>
          <w:rFonts w:ascii="Arial" w:cs="Arial" w:eastAsia="Arial" w:hAnsi="Arial"/>
          <w:sz w:val="17"/>
          <w:szCs w:val="17"/>
          <w:color w:val="auto"/>
        </w:rPr>
        <w:t>”)) or employee from corporate funds; (iii) violated or is in violation of any provision of the FCPA or any applicable non-U.S. anti-bribery statute or regulation; or (iv) made any unlawful bribe, rebate, payoff, influence payment, kickback or other unlawful payment to any domestic government official, such foreign official or employee; and the Company and, to the knowledge of the Company, the Company’s affiliates have conducted the business of the Company and their respective businesses on behalf of the Company in compliance with the FCPA and have instituted and maintain policies and procedures designed to ensure, and which are reasonably expected to continue to ensure, continued compliance therewith.</w:t>
      </w:r>
    </w:p>
    <w:p>
      <w:pPr>
        <w:spacing w:after="0" w:line="176" w:lineRule="exact"/>
        <w:rPr>
          <w:rFonts w:ascii="Arial" w:cs="Arial" w:eastAsia="Arial" w:hAnsi="Arial"/>
          <w:sz w:val="17"/>
          <w:szCs w:val="17"/>
          <w:b w:val="1"/>
          <w:bCs w:val="1"/>
          <w:color w:val="auto"/>
        </w:rPr>
      </w:pPr>
    </w:p>
    <w:p>
      <w:pPr>
        <w:jc w:val="both"/>
        <w:ind w:firstLine="656"/>
        <w:spacing w:after="0" w:line="294" w:lineRule="auto"/>
        <w:tabs>
          <w:tab w:leader="none" w:pos="1351"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Money Laundering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operations of the Company, the Sponsor, and, to the knowledge of the Company after reasonable inquiry,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affiliates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159" w:lineRule="exact"/>
        <w:rPr>
          <w:rFonts w:ascii="Arial" w:cs="Arial" w:eastAsia="Arial" w:hAnsi="Arial"/>
          <w:sz w:val="16"/>
          <w:szCs w:val="16"/>
          <w:b w:val="1"/>
          <w:bCs w:val="1"/>
          <w:color w:val="auto"/>
        </w:rPr>
      </w:pPr>
    </w:p>
    <w:p>
      <w:pPr>
        <w:jc w:val="both"/>
        <w:ind w:firstLine="656"/>
        <w:spacing w:after="0" w:line="272" w:lineRule="auto"/>
        <w:tabs>
          <w:tab w:leader="none" w:pos="1277"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OFAC</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None of the Company, the Sponsor, or, to the knowledge of the Company, any director, director nominee, officer, agent, employee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affiliate of the Company is currently subject to any U.S. sanctions administered by the Office of Foreign Assets Control of the U.S. Treasury Department (“</w:t>
      </w:r>
      <w:r>
        <w:rPr>
          <w:rFonts w:ascii="Arial" w:cs="Arial" w:eastAsia="Arial" w:hAnsi="Arial"/>
          <w:sz w:val="17"/>
          <w:szCs w:val="17"/>
          <w:b w:val="1"/>
          <w:bCs w:val="1"/>
          <w:color w:val="auto"/>
        </w:rPr>
        <w:t>OFAC</w:t>
      </w:r>
      <w:r>
        <w:rPr>
          <w:rFonts w:ascii="Arial" w:cs="Arial" w:eastAsia="Arial" w:hAnsi="Arial"/>
          <w:sz w:val="17"/>
          <w:szCs w:val="17"/>
          <w:color w:val="auto"/>
        </w:rPr>
        <w:t>”), the United Nations Security Council (“</w:t>
      </w:r>
      <w:r>
        <w:rPr>
          <w:rFonts w:ascii="Arial" w:cs="Arial" w:eastAsia="Arial" w:hAnsi="Arial"/>
          <w:sz w:val="17"/>
          <w:szCs w:val="17"/>
          <w:b w:val="1"/>
          <w:bCs w:val="1"/>
          <w:color w:val="auto"/>
        </w:rPr>
        <w:t>UNSC</w:t>
      </w:r>
      <w:r>
        <w:rPr>
          <w:rFonts w:ascii="Arial" w:cs="Arial" w:eastAsia="Arial" w:hAnsi="Arial"/>
          <w:sz w:val="17"/>
          <w:szCs w:val="17"/>
          <w:color w:val="auto"/>
        </w:rPr>
        <w:t>”), the European Union, Her Majesty’s Treasury (“</w:t>
      </w:r>
      <w:r>
        <w:rPr>
          <w:rFonts w:ascii="Arial" w:cs="Arial" w:eastAsia="Arial" w:hAnsi="Arial"/>
          <w:sz w:val="17"/>
          <w:szCs w:val="17"/>
          <w:b w:val="1"/>
          <w:bCs w:val="1"/>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nor is the Company located, organized or resident in a country or territory that is the subject of Sanctions;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subject to any Sanctions or in any other manner that will result in a violation by any person (including any person participating in the transaction whether as underwriter, advisor, investor or otherwise) of such Sanctions.</w:t>
      </w:r>
    </w:p>
    <w:p>
      <w:pPr>
        <w:spacing w:after="0" w:line="171" w:lineRule="exact"/>
        <w:rPr>
          <w:rFonts w:ascii="Arial" w:cs="Arial" w:eastAsia="Arial" w:hAnsi="Arial"/>
          <w:sz w:val="17"/>
          <w:szCs w:val="17"/>
          <w:b w:val="1"/>
          <w:bCs w:val="1"/>
          <w:color w:val="auto"/>
        </w:rPr>
      </w:pPr>
    </w:p>
    <w:p>
      <w:pPr>
        <w:jc w:val="both"/>
        <w:ind w:firstLine="656"/>
        <w:spacing w:after="0" w:line="314" w:lineRule="auto"/>
        <w:tabs>
          <w:tab w:leader="none" w:pos="1338"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Client Information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acknowledges that, in accordance with the requirements of the USA Patriot Act, the Underwriters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56"/>
        <w:spacing w:after="0" w:line="266" w:lineRule="auto"/>
        <w:tabs>
          <w:tab w:leader="none" w:pos="130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Brokers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described in the Registration Statement, the Time of Sale Prospectus and the Prospectus, there is no broker, finder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party that is entitled to receive from the Company any brokerage or finder’s fee or other fee or commission as a result of any transactions contemplated by this Agreement.</w:t>
      </w:r>
    </w:p>
    <w:p>
      <w:pPr>
        <w:spacing w:after="0" w:line="175" w:lineRule="exact"/>
        <w:rPr>
          <w:rFonts w:ascii="Arial" w:cs="Arial" w:eastAsia="Arial" w:hAnsi="Arial"/>
          <w:sz w:val="18"/>
          <w:szCs w:val="18"/>
          <w:b w:val="1"/>
          <w:bCs w:val="1"/>
          <w:color w:val="auto"/>
        </w:rPr>
      </w:pPr>
    </w:p>
    <w:p>
      <w:pPr>
        <w:jc w:val="both"/>
        <w:ind w:firstLine="656"/>
        <w:spacing w:after="0" w:line="261" w:lineRule="auto"/>
        <w:tabs>
          <w:tab w:leader="none" w:pos="1231"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Emerging Growth Company Status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time of the initial confidential submission of the Registration Statement to the Commission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if 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79" w:lineRule="exact"/>
        <w:rPr>
          <w:rFonts w:ascii="Arial" w:cs="Arial" w:eastAsia="Arial" w:hAnsi="Arial"/>
          <w:sz w:val="18"/>
          <w:szCs w:val="18"/>
          <w:b w:val="1"/>
          <w:bCs w:val="1"/>
          <w:color w:val="auto"/>
        </w:rPr>
      </w:pPr>
    </w:p>
    <w:p>
      <w:pPr>
        <w:jc w:val="both"/>
        <w:ind w:firstLine="656"/>
        <w:spacing w:after="0" w:line="266" w:lineRule="auto"/>
        <w:tabs>
          <w:tab w:leader="none" w:pos="1218"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Communications with Potential Acquisition Targets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date hereof, neither the Company nor anyone on its behalf has, and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Closing Date, neither the Company nor anyone on its behalf will have: (a) identified any Business Combination target or (b) had any substantive discussions, directly or indirectly, with respect to a possible initial Business Combination.</w:t>
      </w:r>
    </w:p>
    <w:p>
      <w:pPr>
        <w:spacing w:after="0" w:line="175" w:lineRule="exact"/>
        <w:rPr>
          <w:rFonts w:ascii="Arial" w:cs="Arial" w:eastAsia="Arial" w:hAnsi="Arial"/>
          <w:sz w:val="18"/>
          <w:szCs w:val="18"/>
          <w:b w:val="1"/>
          <w:bCs w:val="1"/>
          <w:color w:val="auto"/>
        </w:rPr>
      </w:pPr>
    </w:p>
    <w:p>
      <w:pPr>
        <w:jc w:val="both"/>
        <w:ind w:firstLine="656"/>
        <w:spacing w:after="0" w:line="270" w:lineRule="auto"/>
        <w:tabs>
          <w:tab w:leader="none" w:pos="1275"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Communications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(i) has not alone engaged in communications with potential investors in reliance on Section 5(d)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Act other than Permitted Section 5(d) Communications with the consent of the Representative with entities that are QIBs or IAIs and (ii) has not authorized anyone other than the Representative to engage in such communications; the Company reconfirms that the Representative has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 and the Company has filed publicly on EDGAR at least 15 calendar days prior to any “road show” (as defined in Rule 433 under the Securities Act), any confidentially submitted registration statement and registration statement amendments relating to the offer and sale of the Offered Securities.</w:t>
      </w:r>
    </w:p>
    <w:p>
      <w:pPr>
        <w:spacing w:after="0" w:line="180" w:lineRule="exact"/>
        <w:rPr>
          <w:rFonts w:ascii="Arial" w:cs="Arial" w:eastAsia="Arial" w:hAnsi="Arial"/>
          <w:sz w:val="17"/>
          <w:szCs w:val="17"/>
          <w:b w:val="1"/>
          <w:bCs w:val="1"/>
          <w:color w:val="auto"/>
        </w:rPr>
      </w:pPr>
    </w:p>
    <w:p>
      <w:pPr>
        <w:jc w:val="both"/>
        <w:ind w:right="20" w:firstLine="656"/>
        <w:spacing w:after="0" w:line="286" w:lineRule="auto"/>
        <w:tabs>
          <w:tab w:leader="none" w:pos="1462"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No Rights to Purchase Preferred Stock. </w:t>
      </w:r>
      <w:r>
        <w:rPr>
          <w:rFonts w:ascii="Arial" w:cs="Arial" w:eastAsia="Arial" w:hAnsi="Arial"/>
          <w:sz w:val="17"/>
          <w:szCs w:val="17"/>
          <w:color w:val="auto"/>
        </w:rPr>
        <w:t>The issuance and sale of the Units as contemplated hereby will not cause any holder of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of capital stock, securities convertible into or exchangeable or exercisable for capital stock or options, warrants or other rights to purchase capital stock or any other securities of the Company to have any right to acquire any shares of preferred stock of the Company.</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certificate signed by any officer of the Company and delivered to any Underwriter or to counsel for the Underwriters in connection with the Offering, or the purchase and sale, of the Offered Securities shall be deemed a representation and warranty by the Company to each Underwriter as to the matters covered thereby.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86" w:lineRule="auto"/>
        <w:rPr>
          <w:sz w:val="20"/>
          <w:szCs w:val="20"/>
          <w:color w:val="auto"/>
        </w:rPr>
      </w:pPr>
      <w:r>
        <w:rPr>
          <w:rFonts w:ascii="Arial" w:cs="Arial" w:eastAsia="Arial" w:hAnsi="Arial"/>
          <w:sz w:val="17"/>
          <w:szCs w:val="17"/>
          <w:color w:val="auto"/>
        </w:rPr>
        <w:t>The Company has a reasonable basis for making each of the representations set forth in this Section 1. The Company acknowledges that the Underwriters and, for purposes of the opinions to be delivered pursuant to Section 5 hereof, counsel to the Company and counsel to the Underwriters, will rely upon the accuracy and truthfulness of the foregoing representations and hereby consents to such reliance.</w:t>
      </w:r>
    </w:p>
    <w:p>
      <w:pPr>
        <w:spacing w:after="0" w:line="161"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Purchase, Sale and Delivery of the Offered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303" w:lineRule="auto"/>
        <w:tabs>
          <w:tab w:leader="none" w:pos="1424"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Firm Securities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terms herein set forth, the Company agrees to issue and sell to the several Underwriters an aggregate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15,000,000 Units. On the basis of the representations, warranties and agreements herein contained, and upon the terms but subject to the conditions herein set forth, the Underwriters agree, severally and not jointly, to purchase from the Company the respective number of Firm Securities set forth opposite their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The purchase price per Unit to be paid by the several Underwriters to the Company shall be $9.90 per share (the “</w:t>
      </w:r>
      <w:r>
        <w:rPr>
          <w:rFonts w:ascii="Arial" w:cs="Arial" w:eastAsia="Arial" w:hAnsi="Arial"/>
          <w:sz w:val="16"/>
          <w:szCs w:val="16"/>
          <w:b w:val="1"/>
          <w:bCs w:val="1"/>
          <w:color w:val="auto"/>
        </w:rPr>
        <w:t>Purchase Price</w:t>
      </w:r>
      <w:r>
        <w:rPr>
          <w:rFonts w:ascii="Arial" w:cs="Arial" w:eastAsia="Arial" w:hAnsi="Arial"/>
          <w:sz w:val="16"/>
          <w:szCs w:val="16"/>
          <w:color w:val="auto"/>
        </w:rPr>
        <w:t>”).</w:t>
      </w:r>
    </w:p>
    <w:p>
      <w:pPr>
        <w:spacing w:after="0" w:line="150" w:lineRule="exact"/>
        <w:rPr>
          <w:rFonts w:ascii="Arial" w:cs="Arial" w:eastAsia="Arial" w:hAnsi="Arial"/>
          <w:sz w:val="16"/>
          <w:szCs w:val="16"/>
          <w:b w:val="1"/>
          <w:bCs w:val="1"/>
          <w:color w:val="auto"/>
        </w:rPr>
      </w:pPr>
    </w:p>
    <w:p>
      <w:pPr>
        <w:ind w:left="1540" w:hanging="884"/>
        <w:spacing w:after="0"/>
        <w:tabs>
          <w:tab w:leader="none" w:pos="154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First Closing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Delivery of the Firm Securities to be purchased by the Underwriters and payment therefor shall be made at</w:t>
      </w:r>
    </w:p>
    <w:p>
      <w:pPr>
        <w:spacing w:after="0" w:line="50" w:lineRule="exact"/>
        <w:rPr>
          <w:rFonts w:ascii="Arial" w:cs="Arial" w:eastAsia="Arial" w:hAnsi="Arial"/>
          <w:sz w:val="16"/>
          <w:szCs w:val="16"/>
          <w:b w:val="1"/>
          <w:bCs w:val="1"/>
          <w:color w:val="auto"/>
        </w:rPr>
      </w:pPr>
    </w:p>
    <w:p>
      <w:pPr>
        <w:jc w:val="both"/>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9:00 a.m. New York City time, on August 6, 2021, or such other time and date not later than 1:30 p.m. New York City time on August 13, 2021 as the Representative shall designate by notice to the Company (the time and date of such closing are called the “</w:t>
      </w:r>
      <w:r>
        <w:rPr>
          <w:rFonts w:ascii="Arial" w:cs="Arial" w:eastAsia="Arial" w:hAnsi="Arial"/>
          <w:sz w:val="18"/>
          <w:szCs w:val="18"/>
          <w:b w:val="1"/>
          <w:bCs w:val="1"/>
          <w:color w:val="auto"/>
        </w:rPr>
        <w:t>First Closing Date</w:t>
      </w:r>
      <w:r>
        <w:rPr>
          <w:rFonts w:ascii="Arial" w:cs="Arial" w:eastAsia="Arial" w:hAnsi="Arial"/>
          <w:sz w:val="18"/>
          <w:szCs w:val="18"/>
          <w:color w:val="auto"/>
        </w:rPr>
        <w:t>”). The Company hereby acknowledges that circumstances under which the Representative may provide notice to postpone the First Closing Date as originally scheduled include, but are not limited to, any determination by the Company or the Representative to recirculate to the public copies of an amended or supplemented Prospectus or a delay as contemplated by the provisions of Section 10. Delivery of the Firm Securities shall be made through the facilities of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unless the Representative shall otherwise instruct.</w:t>
      </w:r>
    </w:p>
    <w:p>
      <w:pPr>
        <w:spacing w:after="0" w:line="189" w:lineRule="exact"/>
        <w:rPr>
          <w:rFonts w:ascii="Arial" w:cs="Arial" w:eastAsia="Arial" w:hAnsi="Arial"/>
          <w:sz w:val="16"/>
          <w:szCs w:val="16"/>
          <w:b w:val="1"/>
          <w:bCs w:val="1"/>
          <w:color w:val="auto"/>
        </w:rPr>
      </w:pPr>
    </w:p>
    <w:p>
      <w:pPr>
        <w:jc w:val="both"/>
        <w:ind w:firstLine="656"/>
        <w:spacing w:after="0" w:line="286" w:lineRule="auto"/>
        <w:tabs>
          <w:tab w:leader="none" w:pos="1603"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Optional Securities; Option Closing Date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on the basis of the representations, warranties and agreements herein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contained, and upon the terms but subject to the conditions herein set forth, the Company hereby grants an option to the several Underwriters to purchase, severally and not jointly, up to an aggregate of 2,250,000 Units from the Company at the purchase price per Unit to be paid by the Underwriters for the Firm Securities. The option granted hereunder may be exercised at any time and from time to time in whole or in part upon notice by the Representative to the Company, which notice may be given at any time within 45 days from the date of this Agreement. Such notice shall set forth (i) the aggregate number of Optional Securities as to which the Underwriters are exercising the option and (ii) the time, date and place at which the Optional Securities will be delivered (which time and date may be simultaneous with, but not earlier than, the First Closing Date; and in the event that such time and date are simultaneous with the First Closing Date, the term “</w:t>
      </w:r>
      <w:r>
        <w:rPr>
          <w:rFonts w:ascii="Arial" w:cs="Arial" w:eastAsia="Arial" w:hAnsi="Arial"/>
          <w:sz w:val="16"/>
          <w:szCs w:val="16"/>
          <w:b w:val="1"/>
          <w:bCs w:val="1"/>
          <w:color w:val="auto"/>
        </w:rPr>
        <w:t>First Closing Date</w:t>
      </w:r>
      <w:r>
        <w:rPr>
          <w:rFonts w:ascii="Arial" w:cs="Arial" w:eastAsia="Arial" w:hAnsi="Arial"/>
          <w:sz w:val="16"/>
          <w:szCs w:val="16"/>
          <w:color w:val="auto"/>
        </w:rPr>
        <w:t>” shall refer to the time and date of delivery of the Firm Securities and such Optional Securities). Any such time and date of delivery, if subsequent to the First Closing Date, is called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xml:space="preserve">,” shall be determined by the Representative and shall not be earlier than two or later than five full business days after delivery of such notice of exercise. If any Optional Securities are to be purchased, each Underwriter agrees, severally and not jointly, to purchase the number of Optional Securities (subject to such adjustments to eliminate fractional shares as the Representative may determine) that bears the same proportion to the total number of Optional Securities to be purchased as the number of Firm Securities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opposite the name of such Underwriter bears to the total number of Firm Securities. The Representative may cancel the option at any time prior to its expiration by giving written notice of such cancellation to the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56"/>
        <w:spacing w:after="0" w:line="261" w:lineRule="auto"/>
        <w:tabs>
          <w:tab w:leader="none" w:pos="1529"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Offering of the Offered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Representative hereby advises the Company that the Underwriters intend to offer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to the public, on the terms set forth in the Registration Statement, the Time of Sale Prospectus and the Prospectus, their respective portions of the Offered Securities as soon after this Agreement has been executed and the Registration Statement has been declared effective as the Representative, in its sole judgment, has determined is advisable and practicable.</w:t>
      </w:r>
    </w:p>
    <w:p>
      <w:pPr>
        <w:spacing w:after="0" w:line="179" w:lineRule="exact"/>
        <w:rPr>
          <w:rFonts w:ascii="Arial" w:cs="Arial" w:eastAsia="Arial" w:hAnsi="Arial"/>
          <w:sz w:val="18"/>
          <w:szCs w:val="18"/>
          <w:b w:val="1"/>
          <w:bCs w:val="1"/>
          <w:color w:val="auto"/>
        </w:rPr>
      </w:pPr>
    </w:p>
    <w:p>
      <w:pPr>
        <w:jc w:val="both"/>
        <w:ind w:firstLine="656"/>
        <w:spacing w:after="0" w:line="286" w:lineRule="auto"/>
        <w:tabs>
          <w:tab w:leader="none" w:pos="1590" w:val="left"/>
        </w:tabs>
        <w:numPr>
          <w:ilvl w:val="1"/>
          <w:numId w:val="1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Delivery and Payment for the Offered Securities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 In addition to the discount from the public offering price represented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Price set forth in the last sentence of Section 2(a) of this Agreement, the Company hereby agrees to pay to the Underwriters a deferred discount of $0.35 per Unit (including both Firm Securities and Optional Securities) purchased hereunder (the “</w:t>
      </w:r>
      <w:r>
        <w:rPr>
          <w:rFonts w:ascii="Arial" w:cs="Arial" w:eastAsia="Arial" w:hAnsi="Arial"/>
          <w:sz w:val="16"/>
          <w:szCs w:val="16"/>
          <w:b w:val="1"/>
          <w:bCs w:val="1"/>
          <w:color w:val="auto"/>
        </w:rPr>
        <w:t>Deferred Discount</w:t>
      </w:r>
      <w:r>
        <w:rPr>
          <w:rFonts w:ascii="Arial" w:cs="Arial" w:eastAsia="Arial" w:hAnsi="Arial"/>
          <w:sz w:val="16"/>
          <w:szCs w:val="16"/>
          <w:color w:val="auto"/>
        </w:rPr>
        <w:t>”). The Underwriters hereby agree that if no Business Combination is consummated within the time period provided in the Trust Agreement and the funds held under the Trust Agreement are distributed to the holders of the Class A Common Stock included in the Offered Securities sold pursuant to this Agreement (the “</w:t>
      </w:r>
      <w:r>
        <w:rPr>
          <w:rFonts w:ascii="Arial" w:cs="Arial" w:eastAsia="Arial" w:hAnsi="Arial"/>
          <w:sz w:val="16"/>
          <w:szCs w:val="16"/>
          <w:b w:val="1"/>
          <w:bCs w:val="1"/>
          <w:color w:val="auto"/>
        </w:rPr>
        <w:t>Public Stockholders</w:t>
      </w:r>
      <w:r>
        <w:rPr>
          <w:rFonts w:ascii="Arial" w:cs="Arial" w:eastAsia="Arial" w:hAnsi="Arial"/>
          <w:sz w:val="16"/>
          <w:szCs w:val="16"/>
          <w:color w:val="auto"/>
        </w:rPr>
        <w:t>”),</w:t>
      </w:r>
    </w:p>
    <w:p>
      <w:pPr>
        <w:spacing w:after="0" w:line="2" w:lineRule="exact"/>
        <w:rPr>
          <w:rFonts w:ascii="Arial" w:cs="Arial" w:eastAsia="Arial" w:hAnsi="Arial"/>
          <w:sz w:val="16"/>
          <w:szCs w:val="16"/>
          <w:b w:val="1"/>
          <w:bCs w:val="1"/>
          <w:color w:val="auto"/>
        </w:rPr>
      </w:pPr>
    </w:p>
    <w:p>
      <w:pPr>
        <w:ind w:firstLine="8"/>
        <w:spacing w:after="0" w:line="260" w:lineRule="auto"/>
        <w:tabs>
          <w:tab w:leader="none" w:pos="2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Underwriters will forfeit any rights or claims to the Deferred Discount and (y) the trustee under the Trust Agreement is authorized to distribute the Deferred Discount to the Public Stockholders on a pro rata basis.</w:t>
      </w:r>
    </w:p>
    <w:p>
      <w:pPr>
        <w:spacing w:after="0" w:line="185" w:lineRule="exact"/>
        <w:rPr>
          <w:rFonts w:ascii="Arial" w:cs="Arial" w:eastAsia="Arial" w:hAnsi="Arial"/>
          <w:sz w:val="18"/>
          <w:szCs w:val="18"/>
          <w:color w:val="auto"/>
        </w:rPr>
      </w:pPr>
    </w:p>
    <w:p>
      <w:pPr>
        <w:jc w:val="both"/>
        <w:ind w:left="660" w:firstLine="644"/>
        <w:spacing w:after="0" w:line="272" w:lineRule="auto"/>
        <w:tabs>
          <w:tab w:leader="none" w:pos="2108" w:val="left"/>
        </w:tabs>
        <w:numPr>
          <w:ilvl w:val="2"/>
          <w:numId w:val="20"/>
        </w:numPr>
        <w:rPr>
          <w:rFonts w:ascii="Arial" w:cs="Arial" w:eastAsia="Arial" w:hAnsi="Arial"/>
          <w:sz w:val="17"/>
          <w:szCs w:val="17"/>
          <w:color w:val="auto"/>
        </w:rPr>
      </w:pPr>
      <w:r>
        <w:rPr>
          <w:rFonts w:ascii="Arial" w:cs="Arial" w:eastAsia="Arial" w:hAnsi="Arial"/>
          <w:sz w:val="17"/>
          <w:szCs w:val="17"/>
          <w:color w:val="auto"/>
        </w:rPr>
        <w:t>It is understood that the Representative has been authorized, for its own account and the accounts of the several Underwriters, to accept delivery of and receipt for, and make payment by wire transfer payable in same-day funds to an account specified by the Company and to the Trust Account as described below in this Section of the purchase price for, the Firm Securities and any Optional Securities the Underwriters have agreed to purchase. Evercore, individually and not as the Representative of the Underwriters, may (but shall not be obligated to) make payment for any Offered Securities to be purchased by any Underwriter whose funds shall not have been received by the Representative by the First Closing Date or the applicable Option Closing Date, as the case may be, for the account of such Underwriter, but any such payment shall not relieve such Underwriter from any of its obligations under this Agreement.</w:t>
      </w:r>
    </w:p>
    <w:p>
      <w:pPr>
        <w:spacing w:after="0" w:line="177" w:lineRule="exact"/>
        <w:rPr>
          <w:rFonts w:ascii="Arial" w:cs="Arial" w:eastAsia="Arial" w:hAnsi="Arial"/>
          <w:sz w:val="17"/>
          <w:szCs w:val="17"/>
          <w:color w:val="auto"/>
        </w:rPr>
      </w:pPr>
    </w:p>
    <w:p>
      <w:pPr>
        <w:jc w:val="both"/>
        <w:ind w:left="660" w:firstLine="644"/>
        <w:spacing w:after="0" w:line="253" w:lineRule="auto"/>
        <w:tabs>
          <w:tab w:leader="none" w:pos="2226" w:val="left"/>
        </w:tabs>
        <w:numPr>
          <w:ilvl w:val="2"/>
          <w:numId w:val="20"/>
        </w:numPr>
        <w:rPr>
          <w:rFonts w:ascii="Arial" w:cs="Arial" w:eastAsia="Arial" w:hAnsi="Arial"/>
          <w:sz w:val="18"/>
          <w:szCs w:val="18"/>
          <w:color w:val="auto"/>
        </w:rPr>
      </w:pPr>
      <w:r>
        <w:rPr>
          <w:rFonts w:ascii="Arial" w:cs="Arial" w:eastAsia="Arial" w:hAnsi="Arial"/>
          <w:sz w:val="18"/>
          <w:szCs w:val="18"/>
          <w:color w:val="auto"/>
        </w:rPr>
        <w:t>Payment for the Firm Securities shall be made as follows: The net proceeds for the Firm Securities (including the Deferred Discount) shall be deposited in the Trust Account pursuant to the terms of the Trust Agreement along with such portion of the gross proceeds of the Sponsor Warrants in order for the Trust Account to equal the product of the number of units sold and the public offering price per Unit as set forth on the cover of the Prospectus upon delivery to the Representative of the Firm Securities through the facilities of DTC or, if the Representative has otherwise instructed, upon delivery to the Representative of certificates (in form and substance satisfactory to the Representative) representing the Firm Securities, in each case for the account of the Underwriters. The Firm Securities shall be registered in such name or names and in such authorized denominations as the Representative may request in writing at least two business days prior to the First Closing Date. If delivery is not made through the facilities of DTC, the Company will permit the Representative to examine and package the Firm Securities for delivery, at least one business day prior to the First Closing Date at a location in New York City as the Representative may designate. The Company shall not be obligated to sell or deliver the Firm Securities except upon tender of payment by the Representative for all the Firm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left="660" w:firstLine="644"/>
        <w:spacing w:after="0" w:line="269" w:lineRule="auto"/>
        <w:tabs>
          <w:tab w:leader="none" w:pos="21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Payment for the Optional Securities shall be made as follows: $9.90 per Optional Security (including any Deferred Discount attributable to the Optional Securities) shall be deposited in the Trust Account pursuant to the terms of the Trust Agreement upon delivery to the Representative of the Optional Securities through the facilities of DTC or, if the Representative has otherwise instructed, upon delivery to the Representative of certificates (in form and substance satisfactory to the Representative) representing the Optional Securities for the account of the Underwriters. The Optional Securities shall be registered in such name or names and in such authorized denominations as the Representative may request in writing at least two business days prior to the Option Closing Date. If delivery is not made through the facilities of DTC, the Company will permit the Representative to examine and package the Optional Securities for delivery, at least one business day prior to the Option Closing Date. The Company shall not be obligated to sell or deliver the Optional Securities except upon tender of payment by the Representative for all the Optional Securities. At least one business day prior to the Optional Securities settlement date, the Company shall deposit the proceeds from the sale of the applicable Sponsor Warrants into the Trust Account.</w:t>
      </w:r>
    </w:p>
    <w:p>
      <w:pPr>
        <w:spacing w:after="0" w:line="181"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Additional Covenants of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further covenants and agrees with each Underwriter as follows:</w:t>
      </w:r>
    </w:p>
    <w:p>
      <w:pPr>
        <w:spacing w:after="0" w:line="225" w:lineRule="exact"/>
        <w:rPr>
          <w:sz w:val="20"/>
          <w:szCs w:val="20"/>
          <w:color w:val="auto"/>
        </w:rPr>
      </w:pPr>
    </w:p>
    <w:p>
      <w:pPr>
        <w:jc w:val="both"/>
        <w:ind w:firstLine="656"/>
        <w:spacing w:after="0" w:line="275" w:lineRule="auto"/>
        <w:tabs>
          <w:tab w:leader="none" w:pos="1519"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Delivery of Registration Statement, Time of Sale Prospectus and Prospectus. </w:t>
      </w:r>
      <w:r>
        <w:rPr>
          <w:rFonts w:ascii="Arial" w:cs="Arial" w:eastAsia="Arial" w:hAnsi="Arial"/>
          <w:sz w:val="17"/>
          <w:szCs w:val="17"/>
          <w:color w:val="auto"/>
        </w:rPr>
        <w:t>The Company shall furnish to you in New York City,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without charge, prior to 10:00 a.m. New York City time on the business day next succeeding the date of this Agreement and during the period when a prospectus relating to the Offered Securities is required by the Securities Act to be delivered (whether physically or through compliance with Rule 172 under the Securities Act or any similar rule) in connection with sales of the Offered Securities, as many copies of the Time of Sale Prospectus, the Prospectus and any supplements and amendments thereto or to the Registration Statement as you may reasonably request.</w:t>
      </w:r>
    </w:p>
    <w:p>
      <w:pPr>
        <w:spacing w:after="0" w:line="176" w:lineRule="exact"/>
        <w:rPr>
          <w:rFonts w:ascii="Arial" w:cs="Arial" w:eastAsia="Arial" w:hAnsi="Arial"/>
          <w:sz w:val="17"/>
          <w:szCs w:val="17"/>
          <w:b w:val="1"/>
          <w:bCs w:val="1"/>
          <w:color w:val="auto"/>
        </w:rPr>
      </w:pPr>
    </w:p>
    <w:p>
      <w:pPr>
        <w:jc w:val="both"/>
        <w:ind w:firstLine="656"/>
        <w:spacing w:after="0" w:line="270" w:lineRule="auto"/>
        <w:tabs>
          <w:tab w:leader="none" w:pos="157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Representative’s Review of Proposed Amendments and Supplements. </w:t>
      </w:r>
      <w:r>
        <w:rPr>
          <w:rFonts w:ascii="Arial" w:cs="Arial" w:eastAsia="Arial" w:hAnsi="Arial"/>
          <w:sz w:val="17"/>
          <w:szCs w:val="17"/>
          <w:color w:val="auto"/>
        </w:rPr>
        <w:t>During the period when a prospectus relating to the Offered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is required by the Securities Act to be delivered (whether physically or through compliance with Rule 172 under the Securities Act or any similar rule), the Company (i) will furnish to the Representative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Prior to amending or supplementing any preliminary prospectus, the Time of Sale Prospectus or the Prospectus, the Company shall furnish to the Representative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The Company shall file with the Commission within the applicable period specified in Rule 424(b) under the Securities Act any prospectus required to be filed pursuant to such Rule.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656"/>
        <w:spacing w:after="0" w:line="263" w:lineRule="auto"/>
        <w:tabs>
          <w:tab w:leader="none" w:pos="159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Free Writing Prospectuses. </w:t>
      </w:r>
      <w:r>
        <w:rPr>
          <w:rFonts w:ascii="Arial" w:cs="Arial" w:eastAsia="Arial" w:hAnsi="Arial"/>
          <w:sz w:val="18"/>
          <w:szCs w:val="18"/>
          <w:color w:val="auto"/>
        </w:rPr>
        <w:t>The Company will not make any offer relating to the Units that constitutes or would constitute a free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writing prospectus or a portion thereof required to be filed by the Company with the Commission or retained by the Company under Rule 433 of the Securities Act.</w:t>
      </w:r>
    </w:p>
    <w:p>
      <w:pPr>
        <w:spacing w:after="0" w:line="183" w:lineRule="exact"/>
        <w:rPr>
          <w:rFonts w:ascii="Arial" w:cs="Arial" w:eastAsia="Arial" w:hAnsi="Arial"/>
          <w:sz w:val="18"/>
          <w:szCs w:val="18"/>
          <w:b w:val="1"/>
          <w:bCs w:val="1"/>
          <w:color w:val="auto"/>
        </w:rPr>
      </w:pPr>
    </w:p>
    <w:p>
      <w:pPr>
        <w:jc w:val="both"/>
        <w:ind w:firstLine="656"/>
        <w:spacing w:after="0" w:line="287" w:lineRule="auto"/>
        <w:tabs>
          <w:tab w:leader="none" w:pos="1529"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Time of Sale Prospectus. </w:t>
      </w:r>
      <w:r>
        <w:rPr>
          <w:rFonts w:ascii="Arial" w:cs="Arial" w:eastAsia="Arial" w:hAnsi="Arial"/>
          <w:sz w:val="16"/>
          <w:szCs w:val="16"/>
          <w:color w:val="auto"/>
        </w:rPr>
        <w:t>If the Time of Sale Prospectus is being used to solicit offers to buy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Offered Securities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63" w:lineRule="exact"/>
        <w:rPr>
          <w:rFonts w:ascii="Arial" w:cs="Arial" w:eastAsia="Arial" w:hAnsi="Arial"/>
          <w:sz w:val="16"/>
          <w:szCs w:val="16"/>
          <w:b w:val="1"/>
          <w:bCs w:val="1"/>
          <w:color w:val="auto"/>
        </w:rPr>
      </w:pPr>
    </w:p>
    <w:p>
      <w:pPr>
        <w:ind w:left="1460" w:hanging="804"/>
        <w:spacing w:after="0"/>
        <w:tabs>
          <w:tab w:leader="none" w:pos="146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Certain Notifications and Required 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the date of this Agreement, the Company shall promptly advise the Representative</w:t>
      </w:r>
    </w:p>
    <w:p>
      <w:pPr>
        <w:spacing w:after="0" w:line="50" w:lineRule="exact"/>
        <w:rPr>
          <w:rFonts w:ascii="Arial" w:cs="Arial" w:eastAsia="Arial" w:hAnsi="Arial"/>
          <w:sz w:val="16"/>
          <w:szCs w:val="16"/>
          <w:b w:val="1"/>
          <w:bCs w:val="1"/>
          <w:color w:val="auto"/>
        </w:rPr>
      </w:pPr>
    </w:p>
    <w:p>
      <w:pPr>
        <w:jc w:val="both"/>
        <w:spacing w:after="0" w:line="267" w:lineRule="auto"/>
        <w:rPr>
          <w:rFonts w:ascii="Arial" w:cs="Arial" w:eastAsia="Arial" w:hAnsi="Arial"/>
          <w:sz w:val="16"/>
          <w:szCs w:val="16"/>
          <w:b w:val="1"/>
          <w:bCs w:val="1"/>
          <w:color w:val="auto"/>
        </w:rPr>
      </w:pPr>
      <w:r>
        <w:rPr>
          <w:rFonts w:ascii="Arial" w:cs="Arial" w:eastAsia="Arial" w:hAnsi="Arial"/>
          <w:sz w:val="17"/>
          <w:szCs w:val="17"/>
          <w:color w:val="auto"/>
        </w:rPr>
        <w:t>in 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the Prospectus or the Exchange Act Registration Statement;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the Prospectus or the Exchange Act Registration Statement or of any order preventing or suspending the use of any preliminary prospectus, the Time of Sale Prospectus, or the Prospectus, or of any proceedings to remove, suspend or terminate from listing or quotation the Units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in all material respects with all applicable provisions of Rule 424(b), Rule 433 and Rule 430A under the Securities Act and will use its reasonable efforts to confirm that any filings made by the Company under Rule 424(b) or Rule 433 were received in a timely manner by the Commission.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56"/>
        <w:spacing w:after="0" w:line="269" w:lineRule="auto"/>
        <w:tabs>
          <w:tab w:leader="none" w:pos="1503"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Amendments and Supplements to the Prospectus and Other Securities Act Matters. </w:t>
      </w:r>
      <w:r>
        <w:rPr>
          <w:rFonts w:ascii="Arial" w:cs="Arial" w:eastAsia="Arial" w:hAnsi="Arial"/>
          <w:sz w:val="17"/>
          <w:szCs w:val="17"/>
          <w:color w:val="auto"/>
        </w:rPr>
        <w:t>If any event shall occur or condition exist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174" w:lineRule="exact"/>
        <w:rPr>
          <w:rFonts w:ascii="Arial" w:cs="Arial" w:eastAsia="Arial" w:hAnsi="Arial"/>
          <w:sz w:val="17"/>
          <w:szCs w:val="17"/>
          <w:b w:val="1"/>
          <w:bCs w:val="1"/>
          <w:color w:val="auto"/>
        </w:rPr>
      </w:pPr>
    </w:p>
    <w:p>
      <w:pPr>
        <w:jc w:val="both"/>
        <w:ind w:firstLine="656"/>
        <w:spacing w:after="0" w:line="289" w:lineRule="auto"/>
        <w:tabs>
          <w:tab w:leader="none" w:pos="1411"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Blue Sky Compliance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cooperate with the Representative and counsel for the Underwriters to qualify or register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Offered Securities for sale under (or obtain exemptions from the application of, including the listing on a national securities exchange such as Nasdaq) the state securities or blue sky laws or Canadian provincial securities laws of those jurisdictions designated by the Representative, shall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 promptly of the suspension of the qualification or registration of (or any such exemption relating to) the Offered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66" w:lineRule="exact"/>
        <w:rPr>
          <w:rFonts w:ascii="Arial" w:cs="Arial" w:eastAsia="Arial" w:hAnsi="Arial"/>
          <w:sz w:val="16"/>
          <w:szCs w:val="16"/>
          <w:b w:val="1"/>
          <w:bCs w:val="1"/>
          <w:color w:val="auto"/>
        </w:rPr>
      </w:pPr>
    </w:p>
    <w:p>
      <w:pPr>
        <w:ind w:firstLine="656"/>
        <w:spacing w:after="0" w:line="347" w:lineRule="auto"/>
        <w:tabs>
          <w:tab w:leader="none" w:pos="1421"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Use of Proceeds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apply the net proceeds from the sale of the Offered Securities and the Sponsor Warrants sold by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manner described under the caption “Use of Proceeds” in the Registration Statement, the Time of Sale Prospectus and the Prospectus.</w:t>
      </w:r>
    </w:p>
    <w:p>
      <w:pPr>
        <w:spacing w:after="0" w:line="115" w:lineRule="exact"/>
        <w:rPr>
          <w:rFonts w:ascii="Arial" w:cs="Arial" w:eastAsia="Arial" w:hAnsi="Arial"/>
          <w:sz w:val="16"/>
          <w:szCs w:val="16"/>
          <w:b w:val="1"/>
          <w:bCs w:val="1"/>
          <w:color w:val="auto"/>
        </w:rPr>
      </w:pPr>
    </w:p>
    <w:p>
      <w:pPr>
        <w:jc w:val="both"/>
        <w:ind w:firstLine="656"/>
        <w:spacing w:after="0" w:line="298" w:lineRule="auto"/>
        <w:tabs>
          <w:tab w:leader="none" w:pos="1574"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Transfer and Warrant Agent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 period commencing on the Effective Date and ending at least five years from the date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consummation of the Business Combination or until such earlier time at which the distributions of the Trust Account to the Public Stockholders in connection with the redemption of shares of Class A Common Stock held by the Public Stockholders pursuant to the terms of the Company’s amended and restated certificate of incorporation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if the Company fails to consummate a Business Combination (the “</w:t>
      </w:r>
      <w:r>
        <w:rPr>
          <w:rFonts w:ascii="Arial" w:cs="Arial" w:eastAsia="Arial" w:hAnsi="Arial"/>
          <w:sz w:val="16"/>
          <w:szCs w:val="16"/>
          <w:b w:val="1"/>
          <w:bCs w:val="1"/>
          <w:color w:val="auto"/>
        </w:rPr>
        <w:t>Liquidation</w:t>
      </w:r>
      <w:r>
        <w:rPr>
          <w:rFonts w:ascii="Arial" w:cs="Arial" w:eastAsia="Arial" w:hAnsi="Arial"/>
          <w:sz w:val="16"/>
          <w:szCs w:val="16"/>
          <w:color w:val="auto"/>
        </w:rPr>
        <w:t>”) occurs or the Class A Common Stock and Warrants cease to be publicly traded, the Company shall retain a transfer and warrant agent.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656"/>
        <w:spacing w:after="0" w:line="261" w:lineRule="auto"/>
        <w:tabs>
          <w:tab w:leader="none" w:pos="1381"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make generally available to its security holders and to the Representative as soon as practicable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earnings statement (which need not be audited) covering a period of at least 12 months beginning with the first fiscal quarter of the Company commencing after the date of this Agreement that will satisfy the provisions of Section 11(a) of the Securities Act and the rules and regulations of the Commission thereunder.</w:t>
      </w:r>
    </w:p>
    <w:p>
      <w:pPr>
        <w:spacing w:after="0" w:line="179" w:lineRule="exact"/>
        <w:rPr>
          <w:rFonts w:ascii="Arial" w:cs="Arial" w:eastAsia="Arial" w:hAnsi="Arial"/>
          <w:sz w:val="18"/>
          <w:szCs w:val="18"/>
          <w:b w:val="1"/>
          <w:bCs w:val="1"/>
          <w:color w:val="auto"/>
        </w:rPr>
      </w:pPr>
    </w:p>
    <w:p>
      <w:pPr>
        <w:jc w:val="both"/>
        <w:ind w:firstLine="656"/>
        <w:spacing w:after="0" w:line="294" w:lineRule="auto"/>
        <w:tabs>
          <w:tab w:leader="none" w:pos="1403"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Continued Compliance with Securities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comply with the Securities Act and the Exchange Act so as to permit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completion of the distribution of the Offered Securities as contemplated by this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Registration Statement, the Time of Sale Prospectus and the Prospectus. Without limiting the generality of the foregoing, the Company will, during the period when a prospectus relating to the Offered Securities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 Additionally, the Company shall report the use of proceeds from the issuance of the Offered Securities as may be required under Rule 463 under the Securities Act.</w:t>
      </w:r>
    </w:p>
    <w:p>
      <w:pPr>
        <w:spacing w:after="0" w:line="159" w:lineRule="exact"/>
        <w:rPr>
          <w:rFonts w:ascii="Arial" w:cs="Arial" w:eastAsia="Arial" w:hAnsi="Arial"/>
          <w:sz w:val="16"/>
          <w:szCs w:val="16"/>
          <w:b w:val="1"/>
          <w:bCs w:val="1"/>
          <w:color w:val="auto"/>
        </w:rPr>
      </w:pPr>
    </w:p>
    <w:p>
      <w:pPr>
        <w:jc w:val="both"/>
        <w:ind w:firstLine="656"/>
        <w:spacing w:after="0" w:line="274" w:lineRule="auto"/>
        <w:tabs>
          <w:tab w:leader="none" w:pos="1358"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Continued Registration of the Securities of the Company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 period commencing on the Effective Date and ending at least five years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the date of the consummation of the Business Combination or until such earlier time at which the Liquidation occurs, the Company will use its best efforts to maintain the registration of the Units (until the consummation of a Business Combination), Class A Common Stock and Warrants under the provisions of the Exchange Act, except after giving effect to a going private transaction after the completion of a Business Combination. The Company will not deregister the Units, Class A Common Stock or Warrants under the Exchange Act (except in connection with a going private transaction after the completion of a Business Combination) without the prior written consent of the Representative.</w:t>
      </w:r>
    </w:p>
    <w:p>
      <w:pPr>
        <w:spacing w:after="0" w:line="173" w:lineRule="exact"/>
        <w:rPr>
          <w:rFonts w:ascii="Arial" w:cs="Arial" w:eastAsia="Arial" w:hAnsi="Arial"/>
          <w:sz w:val="17"/>
          <w:szCs w:val="17"/>
          <w:b w:val="1"/>
          <w:bCs w:val="1"/>
          <w:color w:val="auto"/>
        </w:rPr>
      </w:pPr>
    </w:p>
    <w:p>
      <w:pPr>
        <w:jc w:val="both"/>
        <w:ind w:firstLine="656"/>
        <w:spacing w:after="0" w:line="261" w:lineRule="auto"/>
        <w:tabs>
          <w:tab w:leader="none" w:pos="1619"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use commercially reasonable efforts to effect and, for a period commencing on the Effective Date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ending at least five years from the date of the consummation of the initial Business Combination or until such earlier time at which the Liquidation occurs or the Class A Common Stock and Warrants cease to be publicly traded, maintain the listing of the Units (until the consummation of a Business Combination), Class A Common Stock and Warrants on the Nasdaq.</w:t>
      </w:r>
    </w:p>
    <w:p>
      <w:pPr>
        <w:spacing w:after="0" w:line="179" w:lineRule="exact"/>
        <w:rPr>
          <w:rFonts w:ascii="Arial" w:cs="Arial" w:eastAsia="Arial" w:hAnsi="Arial"/>
          <w:sz w:val="18"/>
          <w:szCs w:val="18"/>
          <w:b w:val="1"/>
          <w:bCs w:val="1"/>
          <w:color w:val="auto"/>
        </w:rPr>
      </w:pPr>
    </w:p>
    <w:p>
      <w:pPr>
        <w:jc w:val="both"/>
        <w:ind w:firstLine="656"/>
        <w:spacing w:after="0" w:line="266" w:lineRule="auto"/>
        <w:tabs>
          <w:tab w:leader="none" w:pos="161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Reservation of Unissued Securities of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reserve and keep available that maximum number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but unissued securities that are issuable upon exercise of any of the Warrants and Sponsor Warrants outstanding from time to time and the conversation of the Founder Shares.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56"/>
        <w:spacing w:after="0" w:line="281" w:lineRule="auto"/>
        <w:tabs>
          <w:tab w:leader="none" w:pos="1721" w:val="left"/>
        </w:tabs>
        <w:numPr>
          <w:ilvl w:val="1"/>
          <w:numId w:val="2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Agreement Not to Issue Additional Shares of Class A Common Stock or Warrants</w:t>
      </w:r>
      <w:r>
        <w:rPr>
          <w:rFonts w:ascii="Arial" w:cs="Arial" w:eastAsia="Arial" w:hAnsi="Arial"/>
          <w:sz w:val="17"/>
          <w:szCs w:val="17"/>
          <w:b w:val="1"/>
          <w:bCs w:val="1"/>
          <w:color w:val="auto"/>
        </w:rPr>
        <w:t>.</w:t>
      </w:r>
      <w:r>
        <w:rPr>
          <w:rFonts w:ascii="Arial" w:cs="Arial" w:eastAsia="Arial" w:hAnsi="Arial"/>
          <w:sz w:val="17"/>
          <w:szCs w:val="17"/>
          <w:color w:val="auto"/>
        </w:rPr>
        <w:t>Prior to the consummation of a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or the Liquidation, the Company shall not issue any shares of Class A Common Stock, Warrants, Sponsor Warrants or any options or other securities convertible into or exercisable or exchangeable for shares of Class A Common Stock, or any shares of preferred stock, in each case, that participate in any manner in the Trust Account or that vote as a class with the Class A Common Stock on a Business Combination.</w:t>
      </w:r>
    </w:p>
    <w:p>
      <w:pPr>
        <w:spacing w:after="0" w:line="164" w:lineRule="exact"/>
        <w:rPr>
          <w:rFonts w:ascii="Arial" w:cs="Arial" w:eastAsia="Arial" w:hAnsi="Arial"/>
          <w:sz w:val="17"/>
          <w:szCs w:val="17"/>
          <w:b w:val="1"/>
          <w:bCs w:val="1"/>
          <w:color w:val="auto"/>
        </w:rPr>
      </w:pPr>
    </w:p>
    <w:p>
      <w:pPr>
        <w:jc w:val="both"/>
        <w:ind w:firstLine="656"/>
        <w:spacing w:after="0" w:line="283" w:lineRule="auto"/>
        <w:tabs>
          <w:tab w:leader="none" w:pos="1435" w:val="left"/>
        </w:tabs>
        <w:numPr>
          <w:ilvl w:val="1"/>
          <w:numId w:val="2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Agreement Not to Offer or Sell Additional Securities of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Beginning on the date hereof and ending on, and including,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that is 180 days after the date of the Prospectus (the “</w:t>
      </w:r>
      <w:r>
        <w:rPr>
          <w:rFonts w:ascii="Arial" w:cs="Arial" w:eastAsia="Arial" w:hAnsi="Arial"/>
          <w:sz w:val="16"/>
          <w:szCs w:val="16"/>
          <w:b w:val="1"/>
          <w:bCs w:val="1"/>
          <w:color w:val="auto"/>
        </w:rPr>
        <w:t>Lock-Up Period</w:t>
      </w:r>
      <w:r>
        <w:rPr>
          <w:rFonts w:ascii="Arial" w:cs="Arial" w:eastAsia="Arial" w:hAnsi="Arial"/>
          <w:sz w:val="16"/>
          <w:szCs w:val="16"/>
          <w:color w:val="auto"/>
        </w:rPr>
        <w:t>”), without the prior written consent of the Representative, the Company will not (i) issue,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Offered Security or any other securities of the Company that are substantially similar to the Offered Securities, or any securities convertible into or exchangeable or exercisable for, or any warrants or other rights to purchase, the foregoing, (ii) file or cause to become effective a registration statement under the Securities Act relating to the offer and sale of any Offered Security or any other securities of the Company that are substantially similar to the Offered Securities, or any securities convertible into or exchangeable or exercisable for, or any warrants or other rights to purchase, the foregoing, (iii) enter into any swap or other arrangement that transfers to another, in whole or in part, any of the economic consequences of ownership of Offered Securities or any other securities of the Company that are substantially similar to the Offered Securities, or any securities convertible into or exchangeable or exercisable for, or any warrants or other rights to purchase, the foregoing, whether any such transaction is to be settled by delivery of Offered Securities or such other securities, in cash or otherwise,</w:t>
      </w:r>
    </w:p>
    <w:p>
      <w:pPr>
        <w:spacing w:after="0" w:line="6" w:lineRule="exact"/>
        <w:rPr>
          <w:rFonts w:ascii="Arial" w:cs="Arial" w:eastAsia="Arial" w:hAnsi="Arial"/>
          <w:sz w:val="16"/>
          <w:szCs w:val="16"/>
          <w:b w:val="1"/>
          <w:bCs w:val="1"/>
          <w:color w:val="auto"/>
        </w:rPr>
      </w:pPr>
    </w:p>
    <w:p>
      <w:pPr>
        <w:jc w:val="both"/>
        <w:ind w:firstLine="8"/>
        <w:spacing w:after="0" w:line="281" w:lineRule="auto"/>
        <w:tabs>
          <w:tab w:leader="none" w:pos="311"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release the Sponsor, Series 35 or any officer, director or director nominee from the lock-up contained in the Insider Letter or (v) publicly announce an intention to effect any transaction specified in clause (i), (ii) or (iii), except, in each case, that the Company may (a) issue and sell the Sponsor Warrants,</w:t>
      </w:r>
    </w:p>
    <w:p>
      <w:pPr>
        <w:spacing w:after="0" w:line="1" w:lineRule="exact"/>
        <w:rPr>
          <w:rFonts w:ascii="Arial" w:cs="Arial" w:eastAsia="Arial" w:hAnsi="Arial"/>
          <w:sz w:val="16"/>
          <w:szCs w:val="16"/>
          <w:color w:val="auto"/>
        </w:rPr>
      </w:pPr>
    </w:p>
    <w:p>
      <w:pPr>
        <w:jc w:val="both"/>
        <w:spacing w:after="0" w:line="292" w:lineRule="auto"/>
        <w:rPr>
          <w:rFonts w:ascii="Arial" w:cs="Arial" w:eastAsia="Arial" w:hAnsi="Arial"/>
          <w:sz w:val="16"/>
          <w:szCs w:val="16"/>
          <w:color w:val="auto"/>
        </w:rPr>
      </w:pPr>
      <w:r>
        <w:rPr>
          <w:rFonts w:ascii="Arial" w:cs="Arial" w:eastAsia="Arial" w:hAnsi="Arial"/>
          <w:sz w:val="16"/>
          <w:szCs w:val="16"/>
          <w:color w:val="auto"/>
        </w:rPr>
        <w:t>(b) issue and sell the Optional Securities on exercise of the option to purchase additional Units as provided in Section 2, (c) register with the Commission pursuant to the Registration Rights Agreement, in accordance with the terms of the Registration Rights Agreement, the shares of Class A Common Stock underlying the Founder Shares, the Sponsor Warrants and warrants that may be issued upon conversion of the working capital loans (and any shares of Class A Common Stock issued or issuable upon the exercise of any such Sponsor Warrants or warrants issued upon conversion of the working capital loans and upon conversion of the Founder Shares), and (d) issue securities in connection with a Business Combination.</w:t>
      </w:r>
    </w:p>
    <w:p>
      <w:pPr>
        <w:spacing w:after="0" w:line="158" w:lineRule="exact"/>
        <w:rPr>
          <w:rFonts w:ascii="Arial" w:cs="Arial" w:eastAsia="Arial" w:hAnsi="Arial"/>
          <w:sz w:val="16"/>
          <w:szCs w:val="16"/>
          <w:color w:val="auto"/>
        </w:rPr>
      </w:pPr>
    </w:p>
    <w:p>
      <w:pPr>
        <w:jc w:val="both"/>
        <w:ind w:firstLine="656"/>
        <w:spacing w:after="0" w:line="298" w:lineRule="auto"/>
        <w:tabs>
          <w:tab w:leader="none" w:pos="1502" w:val="left"/>
        </w:tabs>
        <w:numPr>
          <w:ilvl w:val="1"/>
          <w:numId w:val="2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Investment Limitation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cause the proceeds of the Offering and the sale of the Sponsor Warrants to be held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Trust Account to be invested only in United States government treasury bills with a maturity of 180 days or less or in money market funds meeting certain conditions under Rule 2a-7 under the Investment Company Act as set forth in the Trust Agreement and disclosed in the Preliminary Prospectus and the Prospectus; the Company will otherwise conduct its business in a manner so that it will not become subject to the Investment Company Act; furthermore, once the Company consummates a Business Combination, it will not be required to register as an investment company under the Investment Company Act.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56"/>
        <w:spacing w:after="0" w:line="261" w:lineRule="auto"/>
        <w:tabs>
          <w:tab w:leader="none" w:pos="141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Stabilization or Manipulation; Compliance with Regulation 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not take, and will ensure that no affiliate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will take, directly or indirectly, any action designed to or that might cause or result in stabilization or manipulation of the price of any security of the Company, whether to facilitate the sale or resale of the Offered Securities or otherwise in violation of Regulation M, and the Company will, and shall cause each of its affiliates to, comply with all applicable provisions of Regulation M.</w:t>
      </w:r>
    </w:p>
    <w:p>
      <w:pPr>
        <w:spacing w:after="0" w:line="179" w:lineRule="exact"/>
        <w:rPr>
          <w:rFonts w:ascii="Arial" w:cs="Arial" w:eastAsia="Arial" w:hAnsi="Arial"/>
          <w:sz w:val="18"/>
          <w:szCs w:val="18"/>
          <w:b w:val="1"/>
          <w:bCs w:val="1"/>
          <w:color w:val="auto"/>
        </w:rPr>
      </w:pPr>
    </w:p>
    <w:p>
      <w:pPr>
        <w:jc w:val="both"/>
        <w:ind w:firstLine="656"/>
        <w:spacing w:after="0" w:line="254" w:lineRule="auto"/>
        <w:tabs>
          <w:tab w:leader="none" w:pos="1567"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File a Current Report on Form 8-K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on the date hereof, retain its independent registered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firm to audit the balance sheet of the Company as of the First Closing Date (the “</w:t>
      </w:r>
      <w:r>
        <w:rPr>
          <w:rFonts w:ascii="Arial" w:cs="Arial" w:eastAsia="Arial" w:hAnsi="Arial"/>
          <w:sz w:val="18"/>
          <w:szCs w:val="18"/>
          <w:b w:val="1"/>
          <w:bCs w:val="1"/>
          <w:color w:val="auto"/>
        </w:rPr>
        <w:t>Audited Balance Sheet</w:t>
      </w:r>
      <w:r>
        <w:rPr>
          <w:rFonts w:ascii="Arial" w:cs="Arial" w:eastAsia="Arial" w:hAnsi="Arial"/>
          <w:sz w:val="18"/>
          <w:szCs w:val="18"/>
          <w:color w:val="auto"/>
        </w:rPr>
        <w:t>”) reflecting the receipt by the Company of the proceeds of the sale of the Offered Securities as set forth in the Prospectus on the First Closing Date. As soon as the Audited Balance Sheet becomes available, the Company shall promptly, but not later than four business days after the First Closing Date, file a Current Report on Form 8-K with the Commission, which Report shall contain the Company’s Audited Balance Sheet. Additionally, upon the Company’s receipt of the proceeds from the exercise of all or any portion of the option provided for in Section 2 hereof, the Company shall promptly, but not later than four business days after the receipt of such proceeds, file a Current Report on Form 8-K with the Commission, which report shall disclose the Company’s sale of the Optional Securities and its receipt of the proceeds therefrom.</w:t>
      </w:r>
    </w:p>
    <w:p>
      <w:pPr>
        <w:spacing w:after="0" w:line="191" w:lineRule="exact"/>
        <w:rPr>
          <w:rFonts w:ascii="Arial" w:cs="Arial" w:eastAsia="Arial" w:hAnsi="Arial"/>
          <w:sz w:val="18"/>
          <w:szCs w:val="18"/>
          <w:b w:val="1"/>
          <w:bCs w:val="1"/>
          <w:color w:val="auto"/>
        </w:rPr>
      </w:pPr>
    </w:p>
    <w:p>
      <w:pPr>
        <w:jc w:val="both"/>
        <w:ind w:firstLine="656"/>
        <w:spacing w:after="0" w:line="256" w:lineRule="auto"/>
        <w:tabs>
          <w:tab w:leader="none" w:pos="161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Procure Review of Unaudited Quarterly Financial Statements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period commencing on the Effective Date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ending at least five years from the date of the consummation of the Business Combination or until such earlier time at which the Liquidation occurs or the Class A Common Stock and Warrants cease to be publicly traded, the Company, at its expense, shall cause its regularly engaged independent registered public accounting firm to review (but not audit) the Company’s financial statements for each of the first three fiscal quarters of the year prior to the announcement of quarterly financial information, the filing of the Company’s Quarterly Report on Form 10-Q and the mailing, if any, of quarterly financial information to stockholders.</w:t>
      </w:r>
    </w:p>
    <w:p>
      <w:pPr>
        <w:spacing w:after="0" w:line="191" w:lineRule="exact"/>
        <w:rPr>
          <w:rFonts w:ascii="Arial" w:cs="Arial" w:eastAsia="Arial" w:hAnsi="Arial"/>
          <w:sz w:val="18"/>
          <w:szCs w:val="18"/>
          <w:b w:val="1"/>
          <w:bCs w:val="1"/>
          <w:color w:val="auto"/>
        </w:rPr>
      </w:pPr>
    </w:p>
    <w:p>
      <w:pPr>
        <w:jc w:val="both"/>
        <w:ind w:firstLine="656"/>
        <w:spacing w:after="0" w:line="269" w:lineRule="auto"/>
        <w:tabs>
          <w:tab w:leader="none" w:pos="1489"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Future Reports to the Representative. </w:t>
      </w:r>
      <w:r>
        <w:rPr>
          <w:rFonts w:ascii="Arial" w:cs="Arial" w:eastAsia="Arial" w:hAnsi="Arial"/>
          <w:sz w:val="17"/>
          <w:szCs w:val="17"/>
          <w:color w:val="auto"/>
        </w:rPr>
        <w:t>For a period commencing on the Effective Date and ending at least five years from the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consummation of the Business Combination or until such earlier time at which the Liquidation occurs, the Company will furnish to the Representative, c/o Evercore Group L.L.C., at 55 E. 52nd St. New York, NY 10055, Attention: Equity Capital Markets: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or any securities exchange; (iii) as soon as available, copies of any report or communication of the Company furnished or made available generally to holders of its capital stock and (iv) such additional documents and information with respect to the Company and the affairs of any future subsidiaries of the Company as the Representative may from time to time reasonably request;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requirements of this Section 3(u) shall be satisfied to the extent that such reports, statement, communications, financial statements or other documents are available on EDGAR.</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jc w:val="both"/>
        <w:ind w:firstLine="656"/>
        <w:spacing w:after="0" w:line="298" w:lineRule="auto"/>
        <w:tabs>
          <w:tab w:leader="none" w:pos="1478"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Amendments and Supplements to Permitted Section 5(d)Communications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at any time following the distribution of any Permitted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5(d) 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Permitted Section 5(d) Communication to eliminate or correct such untrue statement or omission.</w:t>
      </w:r>
    </w:p>
    <w:p>
      <w:pPr>
        <w:spacing w:after="0" w:line="153" w:lineRule="exact"/>
        <w:rPr>
          <w:rFonts w:ascii="Arial" w:cs="Arial" w:eastAsia="Arial" w:hAnsi="Arial"/>
          <w:sz w:val="16"/>
          <w:szCs w:val="16"/>
          <w:b w:val="1"/>
          <w:bCs w:val="1"/>
          <w:color w:val="auto"/>
        </w:rPr>
      </w:pPr>
    </w:p>
    <w:p>
      <w:pPr>
        <w:jc w:val="both"/>
        <w:ind w:firstLine="656"/>
        <w:spacing w:after="0" w:line="261" w:lineRule="auto"/>
        <w:tabs>
          <w:tab w:leader="none" w:pos="149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Emerging Growth Company Status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promptly notify the Representative if the Company ceases to be an Emerging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Company at any time prior to the later of (i) the time when a prospectus relating to the Offered Securities is not required by the Securities Act to be delivered (whether physically or through compliance with Rule 172 under the Securities Act or any similar rule) and (ii) the expiration of the Lock-Up Period.</w:t>
      </w:r>
    </w:p>
    <w:p>
      <w:pPr>
        <w:spacing w:after="0" w:line="183" w:lineRule="exact"/>
        <w:rPr>
          <w:rFonts w:ascii="Arial" w:cs="Arial" w:eastAsia="Arial" w:hAnsi="Arial"/>
          <w:sz w:val="18"/>
          <w:szCs w:val="18"/>
          <w:b w:val="1"/>
          <w:bCs w:val="1"/>
          <w:color w:val="auto"/>
        </w:rPr>
      </w:pPr>
    </w:p>
    <w:p>
      <w:pPr>
        <w:ind w:left="1400" w:hanging="744"/>
        <w:spacing w:after="0"/>
        <w:tabs>
          <w:tab w:leader="none" w:pos="14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[Reserved].</w:t>
      </w:r>
    </w:p>
    <w:p>
      <w:pPr>
        <w:spacing w:after="0" w:line="221" w:lineRule="exact"/>
        <w:rPr>
          <w:rFonts w:ascii="Arial" w:cs="Arial" w:eastAsia="Arial" w:hAnsi="Arial"/>
          <w:sz w:val="18"/>
          <w:szCs w:val="18"/>
          <w:b w:val="1"/>
          <w:bCs w:val="1"/>
          <w:color w:val="auto"/>
        </w:rPr>
      </w:pPr>
    </w:p>
    <w:p>
      <w:pPr>
        <w:jc w:val="both"/>
        <w:ind w:firstLine="656"/>
        <w:spacing w:after="0" w:line="289" w:lineRule="auto"/>
        <w:tabs>
          <w:tab w:leader="none" w:pos="1411"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Business Combination with Affiliates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not consummate a Business Combination with any entity that is affiliated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Sponsor or any of the Company’s officers or directors unless it obtains an opinion from a qualified independent accounting firm or an independent investment banking firm which is a member of FINRA that such Business Combination is fair to the Company’s stockholders from a financial point of view; other than as set forth in this subsection, the Company shall not pay the Sponsor or its affiliates or any of the Company’s executive officers, directors or any of their respective affiliates any fees or compensation for services rendered to the Company prior to, or in connection with, the consummation of a Business Combination; provided, however, that such officers, directors and affiliates (i) may receive reimbursement for out-of-pocket expenses incurred by them related to identifying, investigating and consummating a Business Combination to the extent that such expenses do not exceed the amount of available proceeds not deposited in the Trust Account; (ii) may be repaid for loans as described in the Registration Statement; and (iii) may be paid $10,000 per month for office space, utilities and secretarial and administrative support pursuant to the Administrative Support Agreement.</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56"/>
        <w:spacing w:after="0" w:line="283" w:lineRule="auto"/>
        <w:tabs>
          <w:tab w:leader="none" w:pos="1495"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Consummation of the Initial Business Combination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may consummate the initial Business Combination and conduct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redemptions of shares of Class A Common Stock for cash upon consummation of such Business Combination without a stockholder vote pursuant to Rule 13e-4 and Regulation 14E of the Exchange Act, including the filing of tender offer documents with the Commission. Such tender offer documents will contain substantially the same financial and other information about the initial Business Combination and the redemption rights as is required under the Commission’s proxy rules and will provide each stockholder of the Company with the opportunity prior to the consummation of the initial Business Combination to redeem the shares of Class A Common Stock held by such stockholder for an amount of cash per share equal to (A) the aggregate amount then on deposit in the Trust Account as of two business days prior to the consummation of the initial Business Combination representing (x) the net proceeds held in the Trust Account from the Offering and the sale of the Sponsor Warrants and (y) any interest income earned on the funds held in the Trust Account (which interest shall be net of taxes payable), divided by (B) the total number of shares of Class A Common Stock sold as part of the Units in the Offering (the “</w:t>
      </w:r>
      <w:r>
        <w:rPr>
          <w:rFonts w:ascii="Arial" w:cs="Arial" w:eastAsia="Arial" w:hAnsi="Arial"/>
          <w:sz w:val="16"/>
          <w:szCs w:val="16"/>
          <w:b w:val="1"/>
          <w:bCs w:val="1"/>
          <w:color w:val="auto"/>
        </w:rPr>
        <w:t>Public Shares</w:t>
      </w:r>
      <w:r>
        <w:rPr>
          <w:rFonts w:ascii="Arial" w:cs="Arial" w:eastAsia="Arial" w:hAnsi="Arial"/>
          <w:sz w:val="16"/>
          <w:szCs w:val="16"/>
          <w:color w:val="auto"/>
        </w:rPr>
        <w:t>”) then outstanding. If, however, the Company elects not to file such tender offer documents, a stockholder vote is required by law in connection with the initial Business Combination, or the Company decides to hold a stockholder vote for business or other legal reasons, the Company will submit such Business Combination to the Company’s stockholders for their approval (“</w:t>
      </w:r>
      <w:r>
        <w:rPr>
          <w:rFonts w:ascii="Arial" w:cs="Arial" w:eastAsia="Arial" w:hAnsi="Arial"/>
          <w:sz w:val="16"/>
          <w:szCs w:val="16"/>
          <w:b w:val="1"/>
          <w:bCs w:val="1"/>
          <w:color w:val="auto"/>
        </w:rPr>
        <w:t>Business Combination Vote</w:t>
      </w:r>
      <w:r>
        <w:rPr>
          <w:rFonts w:ascii="Arial" w:cs="Arial" w:eastAsia="Arial" w:hAnsi="Arial"/>
          <w:sz w:val="16"/>
          <w:szCs w:val="16"/>
          <w:color w:val="auto"/>
        </w:rPr>
        <w:t>”). With respect to the initial Business Combination Vote, if any, the Sponsor, Series 35 and each of the Company’s directors and officers party to an Insider Letter has agreed to vote all of their respective Founder Shares and any other shares of Class A Common Stock purchased during or after the Offering in favor of the Company’s initial Business Combination. If the Company seeks stockholder approval of the initial Business Combination, the Company will offer to each Public Stockholder holding shares of Class A Common Stock the right to have its shares of Class A Common Stock redeemed in conjunction with a proxy solicitation pursuant to the proxy rules of the Commission at a per share redemption price (the “</w:t>
      </w:r>
      <w:r>
        <w:rPr>
          <w:rFonts w:ascii="Arial" w:cs="Arial" w:eastAsia="Arial" w:hAnsi="Arial"/>
          <w:sz w:val="16"/>
          <w:szCs w:val="16"/>
          <w:b w:val="1"/>
          <w:bCs w:val="1"/>
          <w:color w:val="auto"/>
        </w:rPr>
        <w:t>Redemption Price</w:t>
      </w:r>
      <w:r>
        <w:rPr>
          <w:rFonts w:ascii="Arial" w:cs="Arial" w:eastAsia="Arial" w:hAnsi="Arial"/>
          <w:sz w:val="16"/>
          <w:szCs w:val="16"/>
          <w:color w:val="auto"/>
        </w:rPr>
        <w:t>”) equal to (I) the aggregate amount then on deposit in the Trust Account as of two business days prior to the consummation of the initial Business Combination representing (1) the net proceeds held in the Trust Account from the Offering and the sale of the Sponsor Warrants and (2) any interest income earned on the funds held in the Trust Account (which interest shall be net of any taxes payable), divided by (II) the total number of Public Shares then outstanding. If the Company seeks stockholder approval of the initial Business Combination, the Company may proceed with such Business Combination only if a majority of the outstanding shares voted by the stockholders at a duly held stockholders meeting are voted to approve such Business Combination. If, after seeking and receiving such stockholder approval, the Company elects to so proceed, it will redeem shares of Class A Common Stock, at the Redemption Price, from those Public Stockholders who affirmatively requested such redemption. Only Public Stockholders holding shares of Class A Common Stock who properly exercise their redemption rights, in accordance with the applicable tender offer or proxy materials related to such Business Combination, shall be entitled to receive distributions from the Trust Account in connection with an initial Business Combination, and the Company shall pay no distributions with respect to any other holders or shares of capital stock of the Company in connection therewith. In the event that the Company does not effect a Business Combination within the time period set forth in the Company’s charter, the Company will (i) cease all operations except for the purpose of winding up, (ii) as promptly as reasonably possible but not more than 10 business days thereafter, redeem 100% of the Public Shares, at a per-share price, payable in cash, equal to the aggregate amount then on deposit in the Trust Account, including interest (which interest shall be net of taxes payable and less up to $100,000 of such net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subject to the requirement that any refund of income taxes that were paid from the Trust Account that is received after the redemption shall be distributed to the former Public Stockholders,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Only Public Stockholders holding shares of Class A Common Stock included in the Offered Securities shall be entitled to receive such redemption amounts and the Company shall pay no such redemption amounts or any distributions in liquidation with respect to any other shares of capital stock of the Company. The Company will not propose any amendment to its Certificate of Incorporation that would affect the substance or timing of the Company’s obligation to redeem 100% of the outstanding Public Shares if the Company has not consummated a Business Combination within 24 months from the closing of the Offering, as described in Section 9.7 of the Company’s Certificate of Incorporation, unless the Company offers the right to redeem the Public Shares in connection with such amendment.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56"/>
        <w:spacing w:after="0" w:line="255" w:lineRule="auto"/>
        <w:tabs>
          <w:tab w:leader="none" w:pos="1316"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Announcement of the Consummation of the Initial Business Combination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that the Company desires or is required by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law or regulation to cause an announcement (“</w:t>
      </w:r>
      <w:r>
        <w:rPr>
          <w:rFonts w:ascii="Arial" w:cs="Arial" w:eastAsia="Arial" w:hAnsi="Arial"/>
          <w:sz w:val="18"/>
          <w:szCs w:val="18"/>
          <w:b w:val="1"/>
          <w:bCs w:val="1"/>
          <w:color w:val="auto"/>
        </w:rPr>
        <w:t>Business Combination Announcement</w:t>
      </w:r>
      <w:r>
        <w:rPr>
          <w:rFonts w:ascii="Arial" w:cs="Arial" w:eastAsia="Arial" w:hAnsi="Arial"/>
          <w:sz w:val="18"/>
          <w:szCs w:val="18"/>
          <w:color w:val="auto"/>
        </w:rPr>
        <w:t>”) to be placed in The Wall Street Journal, The New York Times or any other news or media publication or outlet or to be made via a public filing with the Commission announcing the consummation of the Business Combination that indicates that the Underwriters were the underwriters in the Offering, the Company shall supply the Representative with a draft of the Business Combination Announcement and provide the Representative with a reasonable advance opportunity to comment thereon, subject to the agreement of the Underwriters to keep confidential such draft announcement in accordance with the Representative’s standard policies regarding confidential information.</w:t>
      </w:r>
    </w:p>
    <w:p>
      <w:pPr>
        <w:spacing w:after="0" w:line="188" w:lineRule="exact"/>
        <w:rPr>
          <w:rFonts w:ascii="Arial" w:cs="Arial" w:eastAsia="Arial" w:hAnsi="Arial"/>
          <w:sz w:val="18"/>
          <w:szCs w:val="18"/>
          <w:b w:val="1"/>
          <w:bCs w:val="1"/>
          <w:color w:val="auto"/>
        </w:rPr>
      </w:pPr>
    </w:p>
    <w:p>
      <w:pPr>
        <w:jc w:val="both"/>
        <w:ind w:firstLine="656"/>
        <w:spacing w:after="0" w:line="254" w:lineRule="auto"/>
        <w:tabs>
          <w:tab w:leader="none" w:pos="1593"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 of Deferred Discount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the consummation of the initial Business Combination, the Company will pay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Representative, on behalf of the Underwriters, the Deferred Discount. Payment of the Deferred Discount will be made out of the proceeds of the Offering held in the Trust Account, and the Company will instruct CST to transfer the Deferred Discount to the Representative concurrent with any transfer of the funds held in the Trust Account to the Company or any other person. The Underwriters shall have no claim to payment of any interest earned on the portion of the proceeds held in the Trust Account representing the Deferred Discount. If the Company fails to consummate its initial Business Combination within 24 months from the closing of the Offering, the Deferred Discount will not be paid to the Representative and will, instead, be included in the Liquidation distribution of the proceeds held in the Trust Account made to the Public Stockholders. In connection with any such Liquidation, the Underwriters forfeit any rights or claims to the Deferred Discount.</w:t>
      </w:r>
    </w:p>
    <w:p>
      <w:pPr>
        <w:spacing w:after="0" w:line="191" w:lineRule="exact"/>
        <w:rPr>
          <w:rFonts w:ascii="Arial" w:cs="Arial" w:eastAsia="Arial" w:hAnsi="Arial"/>
          <w:sz w:val="18"/>
          <w:szCs w:val="18"/>
          <w:b w:val="1"/>
          <w:bCs w:val="1"/>
          <w:color w:val="auto"/>
        </w:rPr>
      </w:pPr>
    </w:p>
    <w:p>
      <w:pPr>
        <w:jc w:val="both"/>
        <w:ind w:firstLine="656"/>
        <w:spacing w:after="0" w:line="266" w:lineRule="auto"/>
        <w:tabs>
          <w:tab w:leader="none" w:pos="136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Transfer Agent and Registrar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so long as the Company is subject to the reporting requirements of Section 13(g) or 15(d)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Act, the Company will maintain a transfer agent and, if necessary under the jurisdiction of incorporation of the Company, a registrar for the Class A Common Stock.</w:t>
      </w:r>
    </w:p>
    <w:p>
      <w:pPr>
        <w:spacing w:after="0" w:line="175" w:lineRule="exact"/>
        <w:rPr>
          <w:rFonts w:ascii="Arial" w:cs="Arial" w:eastAsia="Arial" w:hAnsi="Arial"/>
          <w:sz w:val="18"/>
          <w:szCs w:val="18"/>
          <w:b w:val="1"/>
          <w:bCs w:val="1"/>
          <w:color w:val="auto"/>
        </w:rPr>
      </w:pPr>
    </w:p>
    <w:p>
      <w:pPr>
        <w:jc w:val="both"/>
        <w:ind w:firstLine="656"/>
        <w:spacing w:after="0" w:line="266" w:lineRule="auto"/>
        <w:tabs>
          <w:tab w:leader="none" w:pos="135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 Pursuant to the Administrative Support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no event will the amounts payable by the Company for office space,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utilities and secretarial and administrative support exceed $10,000 per month in the aggregate until the earlier of the date of the consummation of the Business Combination or the Liquidation.</w:t>
      </w:r>
    </w:p>
    <w:p>
      <w:pPr>
        <w:spacing w:after="0" w:line="175" w:lineRule="exact"/>
        <w:rPr>
          <w:rFonts w:ascii="Arial" w:cs="Arial" w:eastAsia="Arial" w:hAnsi="Arial"/>
          <w:sz w:val="18"/>
          <w:szCs w:val="18"/>
          <w:b w:val="1"/>
          <w:bCs w:val="1"/>
          <w:color w:val="auto"/>
        </w:rPr>
      </w:pPr>
    </w:p>
    <w:p>
      <w:pPr>
        <w:ind w:right="20" w:firstLine="656"/>
        <w:spacing w:after="0" w:line="282" w:lineRule="auto"/>
        <w:tabs>
          <w:tab w:leader="none" w:pos="136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Review of All Payments to the Sponsor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audit committee will review on a quarterly basis all payments made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Sponsor, to the Company’s officers or directors, or to the Company’s or any of such other persons’ respective affiliates.</w:t>
      </w:r>
    </w:p>
    <w:p>
      <w:pPr>
        <w:spacing w:after="0" w:line="161" w:lineRule="exact"/>
        <w:rPr>
          <w:rFonts w:ascii="Arial" w:cs="Arial" w:eastAsia="Arial" w:hAnsi="Arial"/>
          <w:sz w:val="18"/>
          <w:szCs w:val="18"/>
          <w:b w:val="1"/>
          <w:bCs w:val="1"/>
          <w:color w:val="auto"/>
        </w:rPr>
      </w:pPr>
    </w:p>
    <w:p>
      <w:pPr>
        <w:jc w:val="both"/>
        <w:ind w:firstLine="656"/>
        <w:spacing w:after="0" w:line="261" w:lineRule="auto"/>
        <w:tabs>
          <w:tab w:leader="none" w:pos="153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the “Penny Stock” Laws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agrees that it will use commercially reasonable efforts to prevent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from becoming subject to Rule 419 under the Securities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56"/>
        <w:spacing w:after="0" w:line="294" w:lineRule="auto"/>
        <w:tabs>
          <w:tab w:leader="none" w:pos="1231"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Maintenance of Disclosure Controls, Procedures and Internal Accounting Controls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extent required by Rule 13a-15(e)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Act, the Company will maintain “disclosure controls and procedures” (as defined under Rule 13a-15(e) under the Exchange Act) and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59" w:lineRule="exact"/>
        <w:rPr>
          <w:rFonts w:ascii="Arial" w:cs="Arial" w:eastAsia="Arial" w:hAnsi="Arial"/>
          <w:sz w:val="16"/>
          <w:szCs w:val="16"/>
          <w:b w:val="1"/>
          <w:bCs w:val="1"/>
          <w:color w:val="auto"/>
        </w:rPr>
      </w:pPr>
    </w:p>
    <w:p>
      <w:pPr>
        <w:jc w:val="both"/>
        <w:ind w:firstLine="656"/>
        <w:spacing w:after="0" w:line="266" w:lineRule="auto"/>
        <w:tabs>
          <w:tab w:leader="none" w:pos="134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the Sarbanes-Oxley 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soon as legally required to do so, the Company and its directors and officers, in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capacities as such, shall take all actions necessary to comply with any provision of the Sarbanes-Oxley Act, including Section 402 related to loans and Sections 302 and 906 related to certifications, and to comply with the Nasdaq Marketplace Rules.</w:t>
      </w:r>
    </w:p>
    <w:p>
      <w:pPr>
        <w:spacing w:after="0" w:line="175" w:lineRule="exact"/>
        <w:rPr>
          <w:rFonts w:ascii="Arial" w:cs="Arial" w:eastAsia="Arial" w:hAnsi="Arial"/>
          <w:sz w:val="18"/>
          <w:szCs w:val="18"/>
          <w:b w:val="1"/>
          <w:bCs w:val="1"/>
          <w:color w:val="auto"/>
        </w:rPr>
      </w:pPr>
    </w:p>
    <w:p>
      <w:pPr>
        <w:ind w:firstLine="656"/>
        <w:spacing w:after="0" w:line="282" w:lineRule="auto"/>
        <w:tabs>
          <w:tab w:leader="none" w:pos="1443"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the Organizational Documents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not take any action or omit to take any action that would cause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to be in breach or violation of its Certificate of Incorporation or its bylaws (the “</w:t>
      </w:r>
      <w:r>
        <w:rPr>
          <w:rFonts w:ascii="Arial" w:cs="Arial" w:eastAsia="Arial" w:hAnsi="Arial"/>
          <w:sz w:val="18"/>
          <w:szCs w:val="18"/>
          <w:b w:val="1"/>
          <w:bCs w:val="1"/>
          <w:color w:val="auto"/>
        </w:rPr>
        <w:t>Bylaws</w:t>
      </w:r>
      <w:r>
        <w:rPr>
          <w:rFonts w:ascii="Arial" w:cs="Arial" w:eastAsia="Arial" w:hAnsi="Arial"/>
          <w:sz w:val="18"/>
          <w:szCs w:val="18"/>
          <w:color w:val="auto"/>
        </w:rPr>
        <w:t>”), as amended.</w:t>
      </w:r>
    </w:p>
    <w:p>
      <w:pPr>
        <w:spacing w:after="0" w:line="161" w:lineRule="exact"/>
        <w:rPr>
          <w:rFonts w:ascii="Arial" w:cs="Arial" w:eastAsia="Arial" w:hAnsi="Arial"/>
          <w:sz w:val="18"/>
          <w:szCs w:val="18"/>
          <w:b w:val="1"/>
          <w:bCs w:val="1"/>
          <w:color w:val="auto"/>
        </w:rPr>
      </w:pPr>
    </w:p>
    <w:p>
      <w:pPr>
        <w:jc w:val="both"/>
        <w:ind w:firstLine="656"/>
        <w:spacing w:after="0" w:line="314" w:lineRule="auto"/>
        <w:tabs>
          <w:tab w:leader="none" w:pos="1288"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Waiver of Interests to the Funds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seek to have all vendors, service providers (other than the Company’s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registered public accounting firm), prospective target businesses, lenders or other entities with which it does business enter into agreements waiving any right, title, interest or claim of any kind in or to any monies held in the Trust Account for the benefit of the Public Stockholders.</w:t>
      </w:r>
    </w:p>
    <w:p>
      <w:pPr>
        <w:spacing w:after="0" w:line="141" w:lineRule="exact"/>
        <w:rPr>
          <w:rFonts w:ascii="Arial" w:cs="Arial" w:eastAsia="Arial" w:hAnsi="Arial"/>
          <w:sz w:val="16"/>
          <w:szCs w:val="16"/>
          <w:b w:val="1"/>
          <w:bCs w:val="1"/>
          <w:color w:val="auto"/>
        </w:rPr>
      </w:pPr>
    </w:p>
    <w:p>
      <w:pPr>
        <w:jc w:val="both"/>
        <w:ind w:firstLine="656"/>
        <w:spacing w:after="0" w:line="255" w:lineRule="auto"/>
        <w:tabs>
          <w:tab w:leader="none" w:pos="126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Maintenance of Funds in the Trust Account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period prior to the Company’s initial Business Combination or Liquidation,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may instruct the trustee under the Trust Agreement to release from the Trust Account, solely from interest income earned on the funds held in the Trust Account, the amounts necessary to pay taxes. Otherwise, all funds held in the Trust Account (including any interest income earned on the amounts held in the Trust Account (which interest shall be net of taxes payable)) will remain in the Trust Account until the earlier of the consummation of the Company’s initial Business Combination or the Liquidation; provided, however, that in the event of the Liquidation, up to $100,000 of interest income may be released to the Company if the proceeds of the Offering held outside of the Trust Account are not sufficient to cover the costs and expenses associated with implementing the Company’s plan of dissolution.</w:t>
      </w:r>
    </w:p>
    <w:p>
      <w:pPr>
        <w:spacing w:after="0" w:line="188" w:lineRule="exact"/>
        <w:rPr>
          <w:rFonts w:ascii="Arial" w:cs="Arial" w:eastAsia="Arial" w:hAnsi="Arial"/>
          <w:sz w:val="18"/>
          <w:szCs w:val="18"/>
          <w:b w:val="1"/>
          <w:bCs w:val="1"/>
          <w:color w:val="auto"/>
        </w:rPr>
      </w:pPr>
    </w:p>
    <w:p>
      <w:pPr>
        <w:jc w:val="both"/>
        <w:ind w:firstLine="656"/>
        <w:spacing w:after="0" w:line="270" w:lineRule="auto"/>
        <w:tabs>
          <w:tab w:leader="none" w:pos="1228"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Notification and Disclosure of Arrangements Relating to a Business Combination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 period of 90 days following the Effective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event any person or entity (regardless of any FINRA affiliation or association) is engaged to assist the Company in its search for a merger candidate or to provide any other merger and acquisition services, or has provided or will provide any investment banking, financial, advisory and/or consulting services to the Company, the Company agrees that it shall promptly provide to FINRA (via a FINRA submission), the Representative and its counsel a notification prior to entering into the agreement or transaction relating to a potential Business Combination: (i) the identity of the person or entity providing any such services; (ii) complete details of all such services and copies of all agreements governing such services prior to entering into the agreement or transaction; and (iii) justification as to why the value received by any person or entity for such services is not underwriting compensation for the Offering. The Company also agrees that proper disclosure of such arrangement or potential arrangement will be made in the tender offer materials or proxy statement, as applicable, which the Company may file in connection with the Business Combination for purposes of offering redemption of shares held by its stockholders or for soliciting stockholder approval, as applicable.</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right="20" w:firstLine="656"/>
        <w:spacing w:after="0" w:line="347" w:lineRule="auto"/>
        <w:tabs>
          <w:tab w:leader="none" w:pos="1319"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FINRA Conflict of Interest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advise FINRA, the Representative and its counsel if it is aware that any 5% or greater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of the Company becomes an affiliate or associated person of a member of FINRA participating in the distribution of the Offered Securities.</w:t>
      </w:r>
    </w:p>
    <w:p>
      <w:pPr>
        <w:spacing w:after="0" w:line="1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Representative, on behalf of the several Underwriters, may, in its sole discretion, waive in writing the performance by the Company of any one or more of the foregoing covenants or extend the time for their performance.</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4. Payment of Expenses. </w:t>
      </w:r>
      <w:r>
        <w:rPr>
          <w:rFonts w:ascii="Arial" w:cs="Arial" w:eastAsia="Arial" w:hAnsi="Arial"/>
          <w:sz w:val="16"/>
          <w:szCs w:val="16"/>
          <w:color w:val="auto"/>
        </w:rPr>
        <w:t>The Company agrees to pay all costs, fees and expenses incurred in connection with the performance of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hereunder and in connection with the transactions contemplated hereby, including without limitation (i) all expenses incident to the issuance and delivery of the Offered Securities (including all printing and engraving costs), (ii) all fees and expenses of the registrar and transfer agent of the Offered Securities, (iii) all necessary issue, transfer and other stamp taxes in connection with the issuance and sale of the Offered Securities to the Underwriters, (iv) all fees and expenses of the Company’s counsel, independent public or certified public accountants and other advisors, (v) all costs and expenses incurred in connection with the preparation, printing, filing, shipping and distribution of the Exchange Act Registration Statement and the Registration Statement (including financial statements, exhibits, schedules, consents and certificates of experts), the Time of Sale Prospectus, the Prospectus and each preliminary prospectus, each Permitted Section 5(d)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Securities for offer and sale under the state securities or blue sky laws or the provincial securities laws of Canada, and, if requested by the Representative, preparing and printing a “Blue Sky Survey” or memorandum and a “Canadian wrapper”, and any supplements thereto, advising the Underwriters of such qualifications, registrations and exemptions, (vii) the filing fees incident to, and the fees and disbursements of counsel for the Underwriters in an amount not to exceed $25,000 in connection with, the required review by FINRA (viii) the costs and expenses of the Company (and not the Representative) relating to investor presentations on any Road Show, any Permitted Section 5(d) Communication or any Section 5(d) Oral Communication undertaken in connection with the Offering,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not the Representative) and any such consultants, (ix) the fees and expenses associated with listing the Offered Securities on the Nasdaq and (x) all other fees, costs and expenses of the nature referred to in Item 13 of Part II of the Registration Statement. Except as provided in this Section 4 or in Section 6, Section 8 or Section 9 hereof, the Underwriters shall pay their own expenses, including the fees and disbursements of their counsel.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5. Conditions of the Obligations of the Underwriters. </w:t>
      </w:r>
      <w:r>
        <w:rPr>
          <w:rFonts w:ascii="Arial" w:cs="Arial" w:eastAsia="Arial" w:hAnsi="Arial"/>
          <w:sz w:val="16"/>
          <w:szCs w:val="16"/>
          <w:color w:val="auto"/>
        </w:rPr>
        <w:t>The respective obligations of the several Underwriters hereunder to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and pay for the Offered Securities as provided herein on the First Closing Date and, with respect to the Optional Securities, each Option Closing Date, shall be subject to the accuracy of the representations and warranties on the part of the Company set forth in Section 1 hereof as of the date hereof and as of the First Closing Date as though then made and, with respect to the Optional Securities, as of each Option Closing Date as though then made, to the timely performance by the Company of its covenants and other obligations hereunder, and to each of the following additional conditions:</w:t>
      </w:r>
    </w:p>
    <w:p>
      <w:pPr>
        <w:spacing w:after="0" w:line="154" w:lineRule="exact"/>
        <w:rPr>
          <w:sz w:val="20"/>
          <w:szCs w:val="20"/>
          <w:color w:val="auto"/>
        </w:rPr>
      </w:pPr>
    </w:p>
    <w:p>
      <w:pPr>
        <w:jc w:val="both"/>
        <w:ind w:firstLine="656"/>
        <w:spacing w:after="0" w:line="258" w:lineRule="auto"/>
        <w:tabs>
          <w:tab w:leader="none" w:pos="1411"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Comfort Letter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date hereof, the Representative shall have received from Marcum, independent registered public accountants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 letter dated the date hereof addressed to the Underwriters, in form and substance satisfactory to the Representative,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the Prospectus.</w:t>
      </w:r>
    </w:p>
    <w:p>
      <w:pPr>
        <w:spacing w:after="0" w:line="183" w:lineRule="exact"/>
        <w:rPr>
          <w:rFonts w:ascii="Arial" w:cs="Arial" w:eastAsia="Arial" w:hAnsi="Arial"/>
          <w:sz w:val="18"/>
          <w:szCs w:val="18"/>
          <w:b w:val="1"/>
          <w:bCs w:val="1"/>
          <w:color w:val="auto"/>
        </w:rPr>
      </w:pPr>
    </w:p>
    <w:p>
      <w:pPr>
        <w:ind w:left="1420" w:hanging="764"/>
        <w:spacing w:after="0"/>
        <w:tabs>
          <w:tab w:leader="none" w:pos="14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Registration Requirements; No Stop Order; No Objection from FINRA.</w:t>
      </w:r>
    </w:p>
    <w:p>
      <w:pPr>
        <w:spacing w:after="0" w:line="229" w:lineRule="exact"/>
        <w:rPr>
          <w:rFonts w:ascii="Arial" w:cs="Arial" w:eastAsia="Arial" w:hAnsi="Arial"/>
          <w:sz w:val="18"/>
          <w:szCs w:val="18"/>
          <w:b w:val="1"/>
          <w:bCs w:val="1"/>
          <w:color w:val="auto"/>
        </w:rPr>
      </w:pPr>
    </w:p>
    <w:p>
      <w:pPr>
        <w:ind w:left="660" w:firstLine="644"/>
        <w:spacing w:after="0" w:line="277" w:lineRule="auto"/>
        <w:tabs>
          <w:tab w:leader="none" w:pos="2018"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Company shall have filed the Prospectus with the Commission (including the information required by Rule 430A under the Securities Act) in the manner and within the time period required by Rule 424(b) under the Securities Act.</w:t>
      </w:r>
    </w:p>
    <w:p>
      <w:pPr>
        <w:spacing w:after="0" w:line="170" w:lineRule="exact"/>
        <w:rPr>
          <w:rFonts w:ascii="Arial" w:cs="Arial" w:eastAsia="Arial" w:hAnsi="Arial"/>
          <w:sz w:val="18"/>
          <w:szCs w:val="18"/>
          <w:color w:val="auto"/>
        </w:rPr>
      </w:pPr>
    </w:p>
    <w:p>
      <w:pPr>
        <w:ind w:left="660" w:firstLine="644"/>
        <w:spacing w:after="0" w:line="308" w:lineRule="auto"/>
        <w:tabs>
          <w:tab w:leader="none" w:pos="2122" w:val="left"/>
        </w:tabs>
        <w:numPr>
          <w:ilvl w:val="1"/>
          <w:numId w:val="34"/>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46" w:lineRule="exact"/>
        <w:rPr>
          <w:rFonts w:ascii="Arial" w:cs="Arial" w:eastAsia="Arial" w:hAnsi="Arial"/>
          <w:sz w:val="17"/>
          <w:szCs w:val="17"/>
          <w:color w:val="auto"/>
        </w:rPr>
      </w:pPr>
    </w:p>
    <w:p>
      <w:pPr>
        <w:ind w:left="2060" w:hanging="756"/>
        <w:spacing w:after="0"/>
        <w:tabs>
          <w:tab w:leader="none" w:pos="20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FINRA shall have raised no objection to the fairness and reasonableness of the underwriting terms and arrangements.</w:t>
      </w:r>
    </w:p>
    <w:p>
      <w:pPr>
        <w:spacing w:after="0" w:line="236" w:lineRule="exact"/>
        <w:rPr>
          <w:rFonts w:ascii="Arial" w:cs="Arial" w:eastAsia="Arial" w:hAnsi="Arial"/>
          <w:sz w:val="17"/>
          <w:szCs w:val="17"/>
          <w:color w:val="auto"/>
        </w:rPr>
      </w:pPr>
    </w:p>
    <w:p>
      <w:pPr>
        <w:ind w:left="2060" w:hanging="756"/>
        <w:spacing w:after="0"/>
        <w:tabs>
          <w:tab w:leader="none" w:pos="20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Exchange Act Registration Statement shall have been filed and shall have become effective under the Exchange Act.</w:t>
      </w:r>
    </w:p>
    <w:p>
      <w:pPr>
        <w:spacing w:after="0" w:line="232" w:lineRule="exact"/>
        <w:rPr>
          <w:rFonts w:ascii="Arial" w:cs="Arial" w:eastAsia="Arial" w:hAnsi="Arial"/>
          <w:sz w:val="17"/>
          <w:szCs w:val="17"/>
          <w:color w:val="auto"/>
        </w:rPr>
      </w:pPr>
    </w:p>
    <w:p>
      <w:pPr>
        <w:jc w:val="both"/>
        <w:ind w:right="20" w:firstLine="656"/>
        <w:spacing w:after="0" w:line="266" w:lineRule="auto"/>
        <w:tabs>
          <w:tab w:leader="none" w:pos="1738"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Prevention or Suspension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order preventing or suspending the sale of the Units in any jurisdiction designated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Representative pursuant to Section 3(g) hereof shall have been issued as of the First Closing Date and each Option Closing Date, and no proceedings for that purpose shall have been instituted or shall have been threatened.</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56"/>
        <w:spacing w:after="0" w:line="266" w:lineRule="auto"/>
        <w:tabs>
          <w:tab w:leader="none" w:pos="150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Material Adverse Change or Ratings Agency Change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period from and after the date of this Agreement and through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the First Closing Date and, with respect to any Optional Securities purchased after the First Closing Date, each Option Closing Date, in the judgment of the Representative there shall not have occurred any Material Adverse Change.</w:t>
      </w:r>
    </w:p>
    <w:p>
      <w:pPr>
        <w:spacing w:after="0" w:line="175" w:lineRule="exact"/>
        <w:rPr>
          <w:rFonts w:ascii="Arial" w:cs="Arial" w:eastAsia="Arial" w:hAnsi="Arial"/>
          <w:sz w:val="18"/>
          <w:szCs w:val="18"/>
          <w:b w:val="1"/>
          <w:bCs w:val="1"/>
          <w:color w:val="auto"/>
        </w:rPr>
      </w:pPr>
    </w:p>
    <w:p>
      <w:pPr>
        <w:ind w:firstLine="656"/>
        <w:spacing w:after="0" w:line="347" w:lineRule="auto"/>
        <w:tabs>
          <w:tab w:leader="none" w:pos="1455"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Opinion of Counsel for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each of the First Closing Date and each Option Closing Date the Representative shall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the opinion of White &amp; Case LLP, counsel for the Company, dated as of such date, in form and substance satisfactory to the Representative.</w:t>
      </w:r>
    </w:p>
    <w:p>
      <w:pPr>
        <w:spacing w:after="0" w:line="115" w:lineRule="exact"/>
        <w:rPr>
          <w:rFonts w:ascii="Arial" w:cs="Arial" w:eastAsia="Arial" w:hAnsi="Arial"/>
          <w:sz w:val="16"/>
          <w:szCs w:val="16"/>
          <w:b w:val="1"/>
          <w:bCs w:val="1"/>
          <w:color w:val="auto"/>
        </w:rPr>
      </w:pPr>
    </w:p>
    <w:p>
      <w:pPr>
        <w:jc w:val="both"/>
        <w:ind w:firstLine="656"/>
        <w:spacing w:after="0" w:line="261" w:lineRule="auto"/>
        <w:tabs>
          <w:tab w:leader="none" w:pos="1489"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Counsel for the Underwriters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received the opinion of Cravath, Swaine &amp; Moore LLP, counsel for the Underwriters in connection with the offer and sale of the Offered Securities, in form and substance satisfactory to the Representative, dated as of such date, with executed copies for each of the other Underwriters named on the Prospectus cover page.</w:t>
      </w:r>
    </w:p>
    <w:p>
      <w:pPr>
        <w:spacing w:after="0" w:line="179" w:lineRule="exact"/>
        <w:rPr>
          <w:rFonts w:ascii="Arial" w:cs="Arial" w:eastAsia="Arial" w:hAnsi="Arial"/>
          <w:sz w:val="18"/>
          <w:szCs w:val="18"/>
          <w:b w:val="1"/>
          <w:bCs w:val="1"/>
          <w:color w:val="auto"/>
        </w:rPr>
      </w:pPr>
    </w:p>
    <w:p>
      <w:pPr>
        <w:jc w:val="both"/>
        <w:ind w:firstLine="656"/>
        <w:spacing w:after="0" w:line="266" w:lineRule="auto"/>
        <w:tabs>
          <w:tab w:leader="none" w:pos="16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Officers’ Certificate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 shall have received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 executed by the Chief Executive Officer or President of the Company and the Chief Financial Officer of the Company, dated as of such date, to the effect set forth in Section 5(b)(ii) and further to the effect that:</w:t>
      </w:r>
    </w:p>
    <w:p>
      <w:pPr>
        <w:spacing w:after="0" w:line="179" w:lineRule="exact"/>
        <w:rPr>
          <w:rFonts w:ascii="Arial" w:cs="Arial" w:eastAsia="Arial" w:hAnsi="Arial"/>
          <w:sz w:val="18"/>
          <w:szCs w:val="18"/>
          <w:b w:val="1"/>
          <w:bCs w:val="1"/>
          <w:color w:val="auto"/>
        </w:rPr>
      </w:pPr>
    </w:p>
    <w:p>
      <w:pPr>
        <w:ind w:left="660" w:firstLine="644"/>
        <w:spacing w:after="0" w:line="277" w:lineRule="auto"/>
        <w:tabs>
          <w:tab w:leader="none" w:pos="2207" w:val="left"/>
        </w:tabs>
        <w:numPr>
          <w:ilvl w:val="1"/>
          <w:numId w:val="35"/>
        </w:numPr>
        <w:rPr>
          <w:rFonts w:ascii="Arial" w:cs="Arial" w:eastAsia="Arial" w:hAnsi="Arial"/>
          <w:sz w:val="18"/>
          <w:szCs w:val="18"/>
          <w:color w:val="auto"/>
        </w:rPr>
      </w:pPr>
      <w:r>
        <w:rPr>
          <w:rFonts w:ascii="Arial" w:cs="Arial" w:eastAsia="Arial" w:hAnsi="Arial"/>
          <w:sz w:val="18"/>
          <w:szCs w:val="18"/>
          <w:color w:val="auto"/>
        </w:rPr>
        <w:t>for the period from and including the date of this Agreement through and including such date, there has not occurred any Material Adverse Change;</w:t>
      </w:r>
    </w:p>
    <w:p>
      <w:pPr>
        <w:spacing w:after="0" w:line="170" w:lineRule="exact"/>
        <w:rPr>
          <w:rFonts w:ascii="Arial" w:cs="Arial" w:eastAsia="Arial" w:hAnsi="Arial"/>
          <w:sz w:val="18"/>
          <w:szCs w:val="18"/>
          <w:color w:val="auto"/>
        </w:rPr>
      </w:pPr>
    </w:p>
    <w:p>
      <w:pPr>
        <w:jc w:val="both"/>
        <w:ind w:left="660" w:firstLine="644"/>
        <w:spacing w:after="0" w:line="286" w:lineRule="auto"/>
        <w:tabs>
          <w:tab w:leader="none" w:pos="2189"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representations, warranties, and covenants of the Company set forth in Section 1 of this Agreement are true and correct with the same force and effect as though expressly made on and as of such date; and (iii) the Company has complied with all the agreements hereunder and satisfied all the conditions on its part to be performed or satisfied hereunder at or prior to such date.</w:t>
      </w:r>
    </w:p>
    <w:p>
      <w:pPr>
        <w:spacing w:after="0" w:line="161" w:lineRule="exact"/>
        <w:rPr>
          <w:rFonts w:ascii="Arial" w:cs="Arial" w:eastAsia="Arial" w:hAnsi="Arial"/>
          <w:sz w:val="17"/>
          <w:szCs w:val="17"/>
          <w:color w:val="auto"/>
        </w:rPr>
      </w:pPr>
    </w:p>
    <w:p>
      <w:pPr>
        <w:jc w:val="both"/>
        <w:ind w:firstLine="656"/>
        <w:spacing w:after="0" w:line="256" w:lineRule="auto"/>
        <w:tabs>
          <w:tab w:leader="none" w:pos="1529"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Secretary’s Certificate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have furnished to the Representative a certificate signed by the Chief Executive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Secretary or Assistant Secretary of the Company, dated the First Closing Date and each Option Closing Date, certifying (i) that the Certificate of Incorporation and the Bylaws are true and complete, have not been modified and are in full force and effect, (ii) that the resolutions relating to the Offering contemplated by this Agreement are in full force and effect and have not been modified, (iii) copies of all correspondence between the Company or its counsel and the Commission, and (iv) as to the incumbency of the officers of the Company. The documents referred to in such certificate shall be attached to such certificate.</w:t>
      </w:r>
    </w:p>
    <w:p>
      <w:pPr>
        <w:spacing w:after="0" w:line="187" w:lineRule="exact"/>
        <w:rPr>
          <w:rFonts w:ascii="Arial" w:cs="Arial" w:eastAsia="Arial" w:hAnsi="Arial"/>
          <w:sz w:val="18"/>
          <w:szCs w:val="18"/>
          <w:b w:val="1"/>
          <w:bCs w:val="1"/>
          <w:color w:val="auto"/>
        </w:rPr>
      </w:pPr>
    </w:p>
    <w:p>
      <w:pPr>
        <w:jc w:val="both"/>
        <w:ind w:firstLine="656"/>
        <w:spacing w:after="0" w:line="277" w:lineRule="auto"/>
        <w:tabs>
          <w:tab w:leader="none" w:pos="1466"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Bring-down Comfort Letter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each of the First Closing Date and each Option Closing Date the Representative shall have received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Marcum, independent registered public accountants for the Company, a letter dated such date, in form and substance satisfactory to the Representative, which letter shall: (i) reaffirm the statements made in the letter furnished by them pursuant to Section 5(a),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56"/>
        <w:spacing w:after="0" w:line="273" w:lineRule="auto"/>
        <w:tabs>
          <w:tab w:leader="none" w:pos="1462"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Transactional Documents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or prior to the date hereof, the Company shall have delivered to the Representative executed copies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Trust Agreement, the Warrant Agreement, the Subscription Agreement, the Warrant Subscription Agreement, the Insider Letter from each of the Sponsor, Series 35, directors and executive officers of the Company, the Registration Rights Agreement, and the Administrative Support Agreement and each such agreement shall be in full force and effect on each of the First Closing Date and each Option Closing Date. With regard to the Insider Letter, if any additional persons shall become executive officers, directors or director nominees of the Company prior to the end of the Lock-up Period, the Company shall cause each such person, prior to or contemporaneously with their appointment or election as an executive officer, director and director nominee to execute and deliver to the Representative an Insider Letter.</w:t>
      </w:r>
    </w:p>
    <w:p>
      <w:pPr>
        <w:spacing w:after="0" w:line="171" w:lineRule="exact"/>
        <w:rPr>
          <w:rFonts w:ascii="Arial" w:cs="Arial" w:eastAsia="Arial" w:hAnsi="Arial"/>
          <w:sz w:val="17"/>
          <w:szCs w:val="17"/>
          <w:b w:val="1"/>
          <w:bCs w:val="1"/>
          <w:color w:val="auto"/>
        </w:rPr>
      </w:pPr>
    </w:p>
    <w:p>
      <w:pPr>
        <w:jc w:val="both"/>
        <w:ind w:firstLine="656"/>
        <w:spacing w:after="0" w:line="266" w:lineRule="auto"/>
        <w:tabs>
          <w:tab w:leader="none" w:pos="151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Deposit to the Trust Account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least one business day prior to the time of purchase, if the Sponsor shall have caused the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for the Sponsor Warrants to be wired to the Company, the Company shall direct the trustee under the Trust Agreement to deposit such funds into the Trust Account and to hold such funds in escrow therein.</w:t>
      </w:r>
    </w:p>
    <w:p>
      <w:pPr>
        <w:spacing w:after="0" w:line="175" w:lineRule="exact"/>
        <w:rPr>
          <w:rFonts w:ascii="Arial" w:cs="Arial" w:eastAsia="Arial" w:hAnsi="Arial"/>
          <w:sz w:val="18"/>
          <w:szCs w:val="18"/>
          <w:b w:val="1"/>
          <w:bCs w:val="1"/>
          <w:color w:val="auto"/>
        </w:rPr>
      </w:pPr>
    </w:p>
    <w:p>
      <w:pPr>
        <w:jc w:val="both"/>
        <w:ind w:firstLine="656"/>
        <w:spacing w:after="0" w:line="266" w:lineRule="auto"/>
        <w:tabs>
          <w:tab w:leader="none" w:pos="1551"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Rule 462(b) Registration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that a Rule 462(b) Registration Statement is filed in connection with the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175" w:lineRule="exact"/>
        <w:rPr>
          <w:rFonts w:ascii="Arial" w:cs="Arial" w:eastAsia="Arial" w:hAnsi="Arial"/>
          <w:sz w:val="18"/>
          <w:szCs w:val="18"/>
          <w:b w:val="1"/>
          <w:bCs w:val="1"/>
          <w:color w:val="auto"/>
        </w:rPr>
      </w:pPr>
    </w:p>
    <w:p>
      <w:pPr>
        <w:ind w:right="20" w:firstLine="656"/>
        <w:spacing w:after="0" w:line="282" w:lineRule="auto"/>
        <w:tabs>
          <w:tab w:leader="none" w:pos="146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Approval of 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First Closing Date, the Offered Securities shall have been approved for listing on the Nasdaq, subject 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official notice of issuance.</w:t>
      </w:r>
    </w:p>
    <w:p>
      <w:pPr>
        <w:spacing w:after="0" w:line="161" w:lineRule="exact"/>
        <w:rPr>
          <w:rFonts w:ascii="Arial" w:cs="Arial" w:eastAsia="Arial" w:hAnsi="Arial"/>
          <w:sz w:val="18"/>
          <w:szCs w:val="18"/>
          <w:b w:val="1"/>
          <w:bCs w:val="1"/>
          <w:color w:val="auto"/>
        </w:rPr>
      </w:pPr>
    </w:p>
    <w:p>
      <w:pPr>
        <w:jc w:val="both"/>
        <w:ind w:firstLine="656"/>
        <w:spacing w:after="0" w:line="266" w:lineRule="auto"/>
        <w:tabs>
          <w:tab w:leader="none" w:pos="1435"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Advisory Engagement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or prior to the date hereof, each of the Company and the Representative shall execute and deliver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engagement letter pursuant to which the Company has engaged the Representative as financial advisor in connection with the initial Business Combination.</w:t>
      </w:r>
    </w:p>
    <w:p>
      <w:pPr>
        <w:spacing w:after="0" w:line="175" w:lineRule="exact"/>
        <w:rPr>
          <w:rFonts w:ascii="Arial" w:cs="Arial" w:eastAsia="Arial" w:hAnsi="Arial"/>
          <w:sz w:val="18"/>
          <w:szCs w:val="18"/>
          <w:b w:val="1"/>
          <w:bCs w:val="1"/>
          <w:color w:val="auto"/>
        </w:rPr>
      </w:pPr>
    </w:p>
    <w:p>
      <w:pPr>
        <w:jc w:val="both"/>
        <w:ind w:firstLine="656"/>
        <w:spacing w:after="0" w:line="274" w:lineRule="auto"/>
        <w:tabs>
          <w:tab w:leader="none" w:pos="1451"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Additional Documents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or before each of the First Closing Date and each Option Closing Date, the Representative and counsel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Underwriters shall have received such information, documents and opinions as they may reasonably request for the purposes of enabling them to pass upon the issuance and sale of the Offered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Securities as contemplated herein and in connection with the other transactions contemplated by this Agreement shall be satisfactory in form and substance to the Representative and counsel for the Underwriters.</w:t>
      </w:r>
    </w:p>
    <w:p>
      <w:pPr>
        <w:spacing w:after="0" w:line="177"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If any condition specified in this Section 5 is not satisfied when and as required to be satisfied, this Agreement may be terminated by the Representative by notice from the Representative to the Company at any time on or prior to the First Closing Date and, with respect to the Optional Securities, at any time on or prior to the applicable Option Closing Date, which termination shall be without liability on the part of any party to any other party, except that Section 4, Section 6, Section 8 and Section 9 shall at all times be effective and shall survive such termination.</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6. Reimbursement of Underwriters’ Expenses. </w:t>
      </w:r>
      <w:r>
        <w:rPr>
          <w:rFonts w:ascii="Arial" w:cs="Arial" w:eastAsia="Arial" w:hAnsi="Arial"/>
          <w:sz w:val="18"/>
          <w:szCs w:val="18"/>
          <w:color w:val="auto"/>
        </w:rPr>
        <w:t>If this Agreement is terminated by the Representative pursuant to Section 5,</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10 or Section 11, or if the sale to the Underwriters of the Offered Securities on the First Closing Date is not consummated because of any refusal, inability or failure on the part of the Company to perform any agreement herein or to comply with any provision hereof, the Company agrees to reimburse the Representative and the other Underwriters (or such Underwriters as have terminated this Agreement with respect to themselves), severally, upon demand for all out-of-pocket expenses that shall have been reasonably incurred by the Representative and the Underwriters in connection with the proposed purchase and the Offering and sale of the Offered Securities, including, but not limited to, fees and disbursements of counsel, printing expenses, travel expenses, postage, facsimile and telephone charges.</w:t>
      </w:r>
    </w:p>
    <w:p>
      <w:pPr>
        <w:spacing w:after="0" w:line="189"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 xml:space="preserve">Effectiveness of this Agreement. </w:t>
      </w:r>
      <w:r>
        <w:rPr>
          <w:rFonts w:ascii="Arial" w:cs="Arial" w:eastAsia="Arial" w:hAnsi="Arial"/>
          <w:sz w:val="16"/>
          <w:szCs w:val="16"/>
          <w:color w:val="auto"/>
        </w:rPr>
        <w:t>This Agreement shall become effective upon the execution and delivery hereof by the parties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7"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Indemnification.</w:t>
      </w:r>
    </w:p>
    <w:p>
      <w:pPr>
        <w:spacing w:after="0" w:line="225" w:lineRule="exact"/>
        <w:rPr>
          <w:sz w:val="20"/>
          <w:szCs w:val="20"/>
          <w:color w:val="auto"/>
        </w:rPr>
      </w:pPr>
    </w:p>
    <w:p>
      <w:pPr>
        <w:jc w:val="both"/>
        <w:ind w:firstLine="656"/>
        <w:spacing w:after="0" w:line="284" w:lineRule="auto"/>
        <w:tabs>
          <w:tab w:leader="none" w:pos="1478"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Underwriters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indemnify and hold harmless each Underwriter, its affiliates,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Securities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securities of the Company or the Offering contemplated hereby, and which is included as part of or referred to in any loss, claim, damage, liability or action arising out of or based upon any matter covered by clause (i) or (ii) above and to reimburse each Underwriter and each such affiliate, director, officer, employee, agent and controlling person for any and all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 in writing expressly for use in the Registration Statement, any preliminary prospectus, the Time of Sale Prospectus, any Marketing Material, any Section 5(d) Written Communication or the Prospectus (or any amendment or supplement thereto), it being understood and agreed that the only such information consists of the information described in Section 8(b) below. The indemnity agreement set forth in this Section 8(a) shall be in addition to any liabilities that the Company may otherwise have.</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56"/>
        <w:spacing w:after="0" w:line="284" w:lineRule="auto"/>
        <w:tabs>
          <w:tab w:leader="none" w:pos="1421" w:val="left"/>
        </w:tabs>
        <w:numPr>
          <w:ilvl w:val="1"/>
          <w:numId w:val="3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Company, its Directors and Officers</w:t>
      </w:r>
      <w:r>
        <w:rPr>
          <w:rFonts w:ascii="Arial" w:cs="Arial" w:eastAsia="Arial" w:hAnsi="Arial"/>
          <w:sz w:val="16"/>
          <w:szCs w:val="16"/>
          <w:color w:val="auto"/>
        </w:rPr>
        <w:t>. Each Underwriter agrees, severally and not jointly, to indemnify and hold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w:t>
      </w:r>
    </w:p>
    <w:p>
      <w:pPr>
        <w:spacing w:after="0" w:line="4" w:lineRule="exact"/>
        <w:rPr>
          <w:rFonts w:ascii="Arial" w:cs="Arial" w:eastAsia="Arial" w:hAnsi="Arial"/>
          <w:sz w:val="16"/>
          <w:szCs w:val="16"/>
          <w:b w:val="1"/>
          <w:bCs w:val="1"/>
          <w:color w:val="auto"/>
        </w:rPr>
      </w:pPr>
    </w:p>
    <w:p>
      <w:pPr>
        <w:jc w:val="both"/>
        <w:ind w:firstLine="8"/>
        <w:spacing w:after="0" w:line="284" w:lineRule="auto"/>
        <w:tabs>
          <w:tab w:leader="none" w:pos="221"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Section 5(d) Written Communication or the Prospectus (or any such amendment or supplement), in reliance upon and in conformity with information relating to such Underwriter furnished to the Company by the Representative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 has furnished to the Company expressly for use in the Registration Statement, any preliminary prospectus, the Time of Sale Prospectus, any Section 5(d) Written Communication or the Prospectus (or any amendment or supplement to the foregoing) are the following statements set forth under the caption “Underwriting”: (x) the list of Underwriters and their respective roles and participation in the sale of the Offered Securities, (y) the sentences related to concessions and reallowances and the Underwriter’s intention not to make sales to discretionary accounts and (z) the paragraphs related to stabilization, syndicate covering transactions and penalty bids, in the Preliminary Prospectus and the Prospectus. The indemnity agreement set forth in this Section 8(b) shall be in addition to any liabilities that each Underwriter may otherwise have.</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firstLine="656"/>
        <w:spacing w:after="0" w:line="284" w:lineRule="auto"/>
        <w:tabs>
          <w:tab w:leader="none" w:pos="1441"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Notifications and Other Indemnification Procedures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Promptly after receipt by an indemnified party under this Section 8 of notice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commencement of any action, such indemnified party will, if a claim in respect thereof is to be made against an indemnifying party under this Section 8,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8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 (in the case of counsel for the indemnified parties referred to in Section 8(a) above) or by the Company (in the case of counsel for the indemnified parties referred to in Section 8(b)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392" w:lineRule="exact"/>
        <w:rPr>
          <w:rFonts w:ascii="Arial" w:cs="Arial" w:eastAsia="Arial" w:hAnsi="Arial"/>
          <w:sz w:val="16"/>
          <w:szCs w:val="16"/>
          <w:b w:val="1"/>
          <w:bCs w:val="1"/>
          <w:color w:val="auto"/>
        </w:rPr>
      </w:pPr>
    </w:p>
    <w:p>
      <w:pPr>
        <w:jc w:val="both"/>
        <w:ind w:firstLine="656"/>
        <w:spacing w:after="0" w:line="269" w:lineRule="auto"/>
        <w:tabs>
          <w:tab w:leader="none" w:pos="1502"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Settlements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indemnifying party under this Section 8 shall not be liable for any settlement of any proceeding effected without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8(c)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9. Contribution. </w:t>
      </w:r>
      <w:r>
        <w:rPr>
          <w:rFonts w:ascii="Arial" w:cs="Arial" w:eastAsia="Arial" w:hAnsi="Arial"/>
          <w:sz w:val="16"/>
          <w:szCs w:val="16"/>
          <w:color w:val="auto"/>
        </w:rPr>
        <w:t>If the indemnification provided for in Section 8 is for any reason held to be unavailable to or otherwise insufficient to</w:t>
      </w:r>
      <w:r>
        <w:rPr>
          <w:rFonts w:ascii="Arial" w:cs="Arial" w:eastAsia="Arial" w:hAnsi="Arial"/>
          <w:sz w:val="16"/>
          <w:szCs w:val="16"/>
          <w:b w:val="1"/>
          <w:bCs w:val="1"/>
          <w:color w:val="auto"/>
        </w:rPr>
        <w:t xml:space="preserve"> </w:t>
      </w:r>
      <w:r>
        <w:rPr>
          <w:rFonts w:ascii="Arial" w:cs="Arial" w:eastAsia="Arial" w:hAnsi="Arial"/>
          <w:sz w:val="16"/>
          <w:szCs w:val="16"/>
          <w:color w:val="auto"/>
        </w:rPr>
        <w:t>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pursuant to this Agreement shall be deemed to be in the same respective proportions as the total proceeds from the Offering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Securities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amount paid or payable by a party as a result of the losses, claims, damages, liabilities and expenses referred to above shall be deemed to include, subject to the limitations set forth in Section 8(c), any legal or other fees or expenses reasonably incurred by such party in connection with investigating or defending any action or claim. The provisions set forth in Section 8(c) with respect to notice of commencement of any action shall apply if a claim for contribution is to be made under this Section 9; provided, however, that no additional notice shall be required with respect to any action for which notice has been given under Section 8(c) for purposes of indemnification.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in this Section 9.</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70" w:lineRule="auto"/>
        <w:rPr>
          <w:sz w:val="20"/>
          <w:szCs w:val="20"/>
          <w:color w:val="auto"/>
        </w:rPr>
      </w:pPr>
      <w:r>
        <w:rPr>
          <w:rFonts w:ascii="Arial" w:cs="Arial" w:eastAsia="Arial" w:hAnsi="Arial"/>
          <w:sz w:val="17"/>
          <w:szCs w:val="17"/>
          <w:color w:val="auto"/>
        </w:rPr>
        <w:t xml:space="preserve">Notwithstanding the provisions of this Section 9, no Underwriter shall be required to contribute any amount in excess of the underwriting discounts and commissions received by such Underwriter in connection with the Offered Securities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9 are several, and not joint, in proportion to their respective underwriting commitments as set forth opposite their respective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For purposes of this Section 9,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Section 10. Default of One or More of the Several Underwriters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on the First Closing Date or any Option Closing Date any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several Underwriters shall fail or refuse to purchase Offered Securities that it or they have agreed to purchase hereunder on such date, and the aggregate number of Offered Securities which such defaulting Underwriter or Underwriters agreed but failed or refused to purchase does not exceed 10% of the aggregate number of the Offered Securities to be purchased on such date, the Representative may make arrangements satisfactory to the Company for the purchase of such Offered Securities by other persons, including any of the Underwriters, but if no such arrangements are made by such date, the other Underwriters shall be obligated, severally and not jointly, in the proportions that the number of Firm Securities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bears to the aggregate number of Firm Securities set forth opposite the names of all such non-defaulting Underwriters, or in such other proportions as may be specified by the Representative with the consent of the non-defaulting Underwriters, to purchase the Offered Securities which such defaulting Underwriter or Underwriters agreed but failed or refused to purchase on such date. If, on the First Closing Date or any Option Closing Date any one or more of the Underwriters shall fail or refuse to purchase Offered Securities and the aggregate number of Offered Securities with respect to which such default occurs exceeds 10% of the aggregate number of Offered Securities to be purchased on such date, and arrangements satisfactory to the Representative and the Company for the purchase of such Offered Securities are not made within 48 hours after such default, this Agreement shall terminate without liability of any party to any other party except that the provisions of Section 4, Section 6, Section 8 and Section 9 shall at all times be effective and shall survive such termination. In any such case either the Representative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6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Underwriter</w:t>
      </w:r>
      <w:r>
        <w:rPr>
          <w:rFonts w:ascii="Arial" w:cs="Arial" w:eastAsia="Arial" w:hAnsi="Arial"/>
          <w:sz w:val="18"/>
          <w:szCs w:val="18"/>
          <w:color w:val="auto"/>
        </w:rPr>
        <w:t>” shall be deemed to include any person substituted for a defaulting Underwriter under this Section 10. Any action taken under this Section 10 shall not relieve any defaulting Underwriter from liability in respect of any default of such Underwriter under this Agreement.</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648"/>
        <w:spacing w:after="0" w:line="283" w:lineRule="auto"/>
        <w:rPr>
          <w:sz w:val="20"/>
          <w:szCs w:val="20"/>
          <w:color w:val="auto"/>
        </w:rPr>
      </w:pPr>
      <w:r>
        <w:rPr>
          <w:rFonts w:ascii="Arial" w:cs="Arial" w:eastAsia="Arial" w:hAnsi="Arial"/>
          <w:sz w:val="16"/>
          <w:szCs w:val="16"/>
          <w:b w:val="1"/>
          <w:bCs w:val="1"/>
          <w:color w:val="auto"/>
        </w:rPr>
        <w:t>Section 11. Termination of this Agreement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purchase of the Firm Securities by the Underwriters on the First Closing Date,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may be terminated by the Representative by notice given to the Company if at any time: (i) trading or quotation in any of the Company’s securities shall have been suspended or limited by the Commission or by the Nasdaq, or trading in securities generally on either the Nasdaq or the NYSE shall have been suspended or limited, or minimum or maximum prices shall have been generally established on any of such stock exchanges; (ii) a general banking moratorium shall have been declared by either U.S. federal or New York state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 is material and adverse and makes it impracticable to market the Offered Securities in the manner and on the terms described in the Time of Sale Prospectus or the Prospectus or to enforce contracts for the sale of securities; (iv) in the judgment of the Representative there shall have occurred any Material Adverse Change; or (v) the Company shall have sustained a loss by strike, fire, flood, earthquake, accident or other calamity of such character as in the judgment of the Representative may interfere materially with the conduct of the business and operations of the Company regardless of whether or not such loss shall have been insured. Any termination pursuant to this Section 11 shall be without liability on the part of</w:t>
      </w:r>
    </w:p>
    <w:p>
      <w:pPr>
        <w:spacing w:after="0" w:line="7" w:lineRule="exact"/>
        <w:rPr>
          <w:sz w:val="20"/>
          <w:szCs w:val="20"/>
          <w:color w:val="auto"/>
        </w:rPr>
      </w:pPr>
    </w:p>
    <w:p>
      <w:pPr>
        <w:jc w:val="both"/>
        <w:ind w:firstLine="8"/>
        <w:spacing w:after="0" w:line="255" w:lineRule="auto"/>
        <w:tabs>
          <w:tab w:leader="none" w:pos="261"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Company to any Underwriter, except that the Company shall be obligated to reimburse the expenses of the Representative and the Underwriters pursuant to Section 4 or Section 6 hereof or (b) any Underwriter to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provisions of Section 8 and Section 9 shall at all times be effective and shall survive such termination.</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12. No Advisory or Fiduciary Relationship. </w:t>
      </w:r>
      <w:r>
        <w:rPr>
          <w:rFonts w:ascii="Arial" w:cs="Arial" w:eastAsia="Arial" w:hAnsi="Arial"/>
          <w:sz w:val="17"/>
          <w:szCs w:val="17"/>
          <w:color w:val="auto"/>
        </w:rPr>
        <w:t>The Company acknowledges and agrees that (a) the purchase and sale of the Offered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pursuant to this Agreement, including the determination of the public offering price of the Offered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its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13. Representations and Indemnities to Survive Delivery</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respective indemnities, agreements, representations, warranties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directors, employees, agents or any controlling person, as the case may be, and, anything herein to the contrary notwithstanding, will survive delivery of and payment for the Offered Securities sold hereunder and any termination of this Agreement.</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14. Notices. </w:t>
      </w:r>
      <w:r>
        <w:rPr>
          <w:rFonts w:ascii="Arial" w:cs="Arial" w:eastAsia="Arial" w:hAnsi="Arial"/>
          <w:sz w:val="18"/>
          <w:szCs w:val="18"/>
          <w:color w:val="auto"/>
        </w:rPr>
        <w:t>All communications hereunder shall be in writing and shall be mailed, hand delivered or telecopied and confirmed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If to the Representative:</w:t>
            </w:r>
          </w:p>
        </w:tc>
        <w:tc>
          <w:tcPr>
            <w:tcW w:w="4460" w:type="dxa"/>
            <w:vAlign w:val="bottom"/>
            <w:gridSpan w:val="2"/>
          </w:tcPr>
          <w:p>
            <w:pPr>
              <w:ind w:left="780"/>
              <w:spacing w:after="0"/>
              <w:rPr>
                <w:sz w:val="20"/>
                <w:szCs w:val="20"/>
                <w:color w:val="auto"/>
              </w:rPr>
            </w:pPr>
            <w:r>
              <w:rPr>
                <w:rFonts w:ascii="Arial" w:cs="Arial" w:eastAsia="Arial" w:hAnsi="Arial"/>
                <w:sz w:val="18"/>
                <w:szCs w:val="18"/>
                <w:color w:val="auto"/>
              </w:rPr>
              <w:t>Evercore Group L.L.C.</w:t>
            </w:r>
          </w:p>
        </w:tc>
      </w:tr>
      <w:tr>
        <w:trPr>
          <w:trHeight w:val="216"/>
        </w:trPr>
        <w:tc>
          <w:tcPr>
            <w:tcW w:w="2520" w:type="dxa"/>
            <w:vAlign w:val="bottom"/>
          </w:tcPr>
          <w:p>
            <w:pPr>
              <w:spacing w:after="0"/>
              <w:rPr>
                <w:sz w:val="18"/>
                <w:szCs w:val="18"/>
                <w:color w:val="auto"/>
              </w:rPr>
            </w:pPr>
          </w:p>
        </w:tc>
        <w:tc>
          <w:tcPr>
            <w:tcW w:w="4460" w:type="dxa"/>
            <w:vAlign w:val="bottom"/>
            <w:gridSpan w:val="2"/>
          </w:tcPr>
          <w:p>
            <w:pPr>
              <w:ind w:left="780"/>
              <w:spacing w:after="0"/>
              <w:rPr>
                <w:sz w:val="20"/>
                <w:szCs w:val="20"/>
                <w:color w:val="auto"/>
              </w:rPr>
            </w:pPr>
            <w:r>
              <w:rPr>
                <w:rFonts w:ascii="Arial" w:cs="Arial" w:eastAsia="Arial" w:hAnsi="Arial"/>
                <w:sz w:val="18"/>
                <w:szCs w:val="18"/>
                <w:color w:val="auto"/>
              </w:rPr>
              <w:t>55 E. 52nd St.</w:t>
            </w:r>
          </w:p>
        </w:tc>
      </w:tr>
      <w:tr>
        <w:trPr>
          <w:trHeight w:val="216"/>
        </w:trPr>
        <w:tc>
          <w:tcPr>
            <w:tcW w:w="2520" w:type="dxa"/>
            <w:vAlign w:val="bottom"/>
          </w:tcPr>
          <w:p>
            <w:pPr>
              <w:spacing w:after="0"/>
              <w:rPr>
                <w:sz w:val="18"/>
                <w:szCs w:val="18"/>
                <w:color w:val="auto"/>
              </w:rPr>
            </w:pPr>
          </w:p>
        </w:tc>
        <w:tc>
          <w:tcPr>
            <w:tcW w:w="4460" w:type="dxa"/>
            <w:vAlign w:val="bottom"/>
            <w:gridSpan w:val="2"/>
          </w:tcPr>
          <w:p>
            <w:pPr>
              <w:ind w:left="780"/>
              <w:spacing w:after="0"/>
              <w:rPr>
                <w:sz w:val="20"/>
                <w:szCs w:val="20"/>
                <w:color w:val="auto"/>
              </w:rPr>
            </w:pPr>
            <w:r>
              <w:rPr>
                <w:rFonts w:ascii="Arial" w:cs="Arial" w:eastAsia="Arial" w:hAnsi="Arial"/>
                <w:sz w:val="18"/>
                <w:szCs w:val="18"/>
                <w:color w:val="auto"/>
              </w:rPr>
              <w:t>New York, NY 10055</w:t>
            </w:r>
          </w:p>
        </w:tc>
      </w:tr>
      <w:tr>
        <w:trPr>
          <w:trHeight w:val="230"/>
        </w:trPr>
        <w:tc>
          <w:tcPr>
            <w:tcW w:w="2520" w:type="dxa"/>
            <w:vAlign w:val="bottom"/>
          </w:tcPr>
          <w:p>
            <w:pPr>
              <w:spacing w:after="0"/>
              <w:rPr>
                <w:sz w:val="20"/>
                <w:szCs w:val="20"/>
                <w:color w:val="auto"/>
              </w:rPr>
            </w:pPr>
          </w:p>
        </w:tc>
        <w:tc>
          <w:tcPr>
            <w:tcW w:w="4460" w:type="dxa"/>
            <w:vAlign w:val="bottom"/>
            <w:gridSpan w:val="2"/>
          </w:tcPr>
          <w:p>
            <w:pPr>
              <w:ind w:left="780"/>
              <w:spacing w:after="0"/>
              <w:rPr>
                <w:sz w:val="20"/>
                <w:szCs w:val="20"/>
                <w:color w:val="auto"/>
              </w:rPr>
            </w:pPr>
            <w:r>
              <w:rPr>
                <w:rFonts w:ascii="Arial" w:cs="Arial" w:eastAsia="Arial" w:hAnsi="Arial"/>
                <w:sz w:val="18"/>
                <w:szCs w:val="18"/>
                <w:color w:val="auto"/>
                <w:w w:val="98"/>
              </w:rPr>
              <w:t>Attention: Neil Shah, Senior Managing Director</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with a copy to:</w:t>
            </w:r>
          </w:p>
        </w:tc>
        <w:tc>
          <w:tcPr>
            <w:tcW w:w="4460" w:type="dxa"/>
            <w:vAlign w:val="bottom"/>
            <w:gridSpan w:val="2"/>
          </w:tcPr>
          <w:p>
            <w:pPr>
              <w:ind w:left="780"/>
              <w:spacing w:after="0"/>
              <w:rPr>
                <w:sz w:val="20"/>
                <w:szCs w:val="20"/>
                <w:color w:val="auto"/>
              </w:rPr>
            </w:pPr>
            <w:r>
              <w:rPr>
                <w:rFonts w:ascii="Arial" w:cs="Arial" w:eastAsia="Arial" w:hAnsi="Arial"/>
                <w:sz w:val="18"/>
                <w:szCs w:val="18"/>
                <w:color w:val="auto"/>
              </w:rPr>
              <w:t>Cravath, Swaine &amp; Moore LLP</w:t>
            </w:r>
          </w:p>
        </w:tc>
      </w:tr>
      <w:tr>
        <w:trPr>
          <w:trHeight w:val="216"/>
        </w:trPr>
        <w:tc>
          <w:tcPr>
            <w:tcW w:w="2520" w:type="dxa"/>
            <w:vAlign w:val="bottom"/>
          </w:tcPr>
          <w:p>
            <w:pPr>
              <w:spacing w:after="0"/>
              <w:rPr>
                <w:sz w:val="18"/>
                <w:szCs w:val="18"/>
                <w:color w:val="auto"/>
              </w:rPr>
            </w:pPr>
          </w:p>
        </w:tc>
        <w:tc>
          <w:tcPr>
            <w:tcW w:w="4460" w:type="dxa"/>
            <w:vAlign w:val="bottom"/>
            <w:gridSpan w:val="2"/>
          </w:tcPr>
          <w:p>
            <w:pPr>
              <w:ind w:left="780"/>
              <w:spacing w:after="0"/>
              <w:rPr>
                <w:sz w:val="20"/>
                <w:szCs w:val="20"/>
                <w:color w:val="auto"/>
              </w:rPr>
            </w:pPr>
            <w:r>
              <w:rPr>
                <w:rFonts w:ascii="Arial" w:cs="Arial" w:eastAsia="Arial" w:hAnsi="Arial"/>
                <w:sz w:val="18"/>
                <w:szCs w:val="18"/>
                <w:color w:val="auto"/>
              </w:rPr>
              <w:t>825 Eighth Avenue</w:t>
            </w:r>
          </w:p>
        </w:tc>
      </w:tr>
      <w:tr>
        <w:trPr>
          <w:trHeight w:val="216"/>
        </w:trPr>
        <w:tc>
          <w:tcPr>
            <w:tcW w:w="2520" w:type="dxa"/>
            <w:vAlign w:val="bottom"/>
          </w:tcPr>
          <w:p>
            <w:pPr>
              <w:spacing w:after="0"/>
              <w:rPr>
                <w:sz w:val="18"/>
                <w:szCs w:val="18"/>
                <w:color w:val="auto"/>
              </w:rPr>
            </w:pPr>
          </w:p>
        </w:tc>
        <w:tc>
          <w:tcPr>
            <w:tcW w:w="4460" w:type="dxa"/>
            <w:vAlign w:val="bottom"/>
            <w:gridSpan w:val="2"/>
          </w:tcPr>
          <w:p>
            <w:pPr>
              <w:ind w:left="780"/>
              <w:spacing w:after="0"/>
              <w:rPr>
                <w:sz w:val="20"/>
                <w:szCs w:val="20"/>
                <w:color w:val="auto"/>
              </w:rPr>
            </w:pPr>
            <w:r>
              <w:rPr>
                <w:rFonts w:ascii="Arial" w:cs="Arial" w:eastAsia="Arial" w:hAnsi="Arial"/>
                <w:sz w:val="18"/>
                <w:szCs w:val="18"/>
                <w:color w:val="auto"/>
              </w:rPr>
              <w:t>New York, NY 10019</w:t>
            </w:r>
          </w:p>
        </w:tc>
      </w:tr>
      <w:tr>
        <w:trPr>
          <w:trHeight w:val="216"/>
        </w:trPr>
        <w:tc>
          <w:tcPr>
            <w:tcW w:w="2520" w:type="dxa"/>
            <w:vAlign w:val="bottom"/>
          </w:tcPr>
          <w:p>
            <w:pPr>
              <w:spacing w:after="0"/>
              <w:rPr>
                <w:sz w:val="18"/>
                <w:szCs w:val="18"/>
                <w:color w:val="auto"/>
              </w:rPr>
            </w:pPr>
          </w:p>
        </w:tc>
        <w:tc>
          <w:tcPr>
            <w:tcW w:w="1560" w:type="dxa"/>
            <w:vAlign w:val="bottom"/>
          </w:tcPr>
          <w:p>
            <w:pPr>
              <w:ind w:left="780"/>
              <w:spacing w:after="0"/>
              <w:rPr>
                <w:sz w:val="20"/>
                <w:szCs w:val="20"/>
                <w:color w:val="auto"/>
              </w:rPr>
            </w:pPr>
            <w:r>
              <w:rPr>
                <w:rFonts w:ascii="Arial" w:cs="Arial" w:eastAsia="Arial" w:hAnsi="Arial"/>
                <w:sz w:val="18"/>
                <w:szCs w:val="18"/>
                <w:color w:val="auto"/>
                <w:w w:val="93"/>
              </w:rPr>
              <w:t>Facsimile:</w:t>
            </w:r>
          </w:p>
        </w:tc>
        <w:tc>
          <w:tcPr>
            <w:tcW w:w="2900" w:type="dxa"/>
            <w:vAlign w:val="bottom"/>
          </w:tcPr>
          <w:p>
            <w:pPr>
              <w:ind w:left="60"/>
              <w:spacing w:after="0"/>
              <w:rPr>
                <w:sz w:val="20"/>
                <w:szCs w:val="20"/>
                <w:color w:val="auto"/>
              </w:rPr>
            </w:pPr>
            <w:r>
              <w:rPr>
                <w:rFonts w:ascii="Arial" w:cs="Arial" w:eastAsia="Arial" w:hAnsi="Arial"/>
                <w:sz w:val="18"/>
                <w:szCs w:val="18"/>
                <w:color w:val="auto"/>
              </w:rPr>
              <w:t>(212) 474-3700</w:t>
            </w:r>
          </w:p>
        </w:tc>
      </w:tr>
      <w:tr>
        <w:trPr>
          <w:trHeight w:val="230"/>
        </w:trPr>
        <w:tc>
          <w:tcPr>
            <w:tcW w:w="2520" w:type="dxa"/>
            <w:vAlign w:val="bottom"/>
          </w:tcPr>
          <w:p>
            <w:pPr>
              <w:spacing w:after="0"/>
              <w:rPr>
                <w:sz w:val="20"/>
                <w:szCs w:val="20"/>
                <w:color w:val="auto"/>
              </w:rPr>
            </w:pPr>
          </w:p>
        </w:tc>
        <w:tc>
          <w:tcPr>
            <w:tcW w:w="4460" w:type="dxa"/>
            <w:vAlign w:val="bottom"/>
            <w:gridSpan w:val="2"/>
          </w:tcPr>
          <w:p>
            <w:pPr>
              <w:ind w:left="780"/>
              <w:spacing w:after="0"/>
              <w:rPr>
                <w:sz w:val="20"/>
                <w:szCs w:val="20"/>
                <w:color w:val="auto"/>
              </w:rPr>
            </w:pPr>
            <w:r>
              <w:rPr>
                <w:rFonts w:ascii="Arial" w:cs="Arial" w:eastAsia="Arial" w:hAnsi="Arial"/>
                <w:sz w:val="18"/>
                <w:szCs w:val="18"/>
                <w:color w:val="auto"/>
                <w:w w:val="92"/>
              </w:rPr>
              <w:t>Attention: Andrew J. Pitts and Nicholas A. Dorsey</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If to the Company:</w:t>
            </w:r>
          </w:p>
        </w:tc>
        <w:tc>
          <w:tcPr>
            <w:tcW w:w="4460" w:type="dxa"/>
            <w:vAlign w:val="bottom"/>
            <w:gridSpan w:val="2"/>
          </w:tcPr>
          <w:p>
            <w:pPr>
              <w:ind w:left="780"/>
              <w:spacing w:after="0"/>
              <w:rPr>
                <w:sz w:val="20"/>
                <w:szCs w:val="20"/>
                <w:color w:val="auto"/>
              </w:rPr>
            </w:pPr>
            <w:r>
              <w:rPr>
                <w:rFonts w:ascii="Arial" w:cs="Arial" w:eastAsia="Arial" w:hAnsi="Arial"/>
                <w:sz w:val="18"/>
                <w:szCs w:val="18"/>
                <w:color w:val="auto"/>
              </w:rPr>
              <w:t>AMCI Acquisition Corp. II</w:t>
            </w:r>
          </w:p>
        </w:tc>
      </w:tr>
      <w:tr>
        <w:trPr>
          <w:trHeight w:val="216"/>
        </w:trPr>
        <w:tc>
          <w:tcPr>
            <w:tcW w:w="2520" w:type="dxa"/>
            <w:vAlign w:val="bottom"/>
          </w:tcPr>
          <w:p>
            <w:pPr>
              <w:spacing w:after="0"/>
              <w:rPr>
                <w:sz w:val="18"/>
                <w:szCs w:val="18"/>
                <w:color w:val="auto"/>
              </w:rPr>
            </w:pPr>
          </w:p>
        </w:tc>
        <w:tc>
          <w:tcPr>
            <w:tcW w:w="4460" w:type="dxa"/>
            <w:vAlign w:val="bottom"/>
            <w:gridSpan w:val="2"/>
          </w:tcPr>
          <w:p>
            <w:pPr>
              <w:ind w:left="780"/>
              <w:spacing w:after="0"/>
              <w:rPr>
                <w:sz w:val="20"/>
                <w:szCs w:val="20"/>
                <w:color w:val="auto"/>
              </w:rPr>
            </w:pPr>
            <w:r>
              <w:rPr>
                <w:rFonts w:ascii="Arial" w:cs="Arial" w:eastAsia="Arial" w:hAnsi="Arial"/>
                <w:sz w:val="18"/>
                <w:szCs w:val="18"/>
                <w:color w:val="auto"/>
              </w:rPr>
              <w:t>600 Steamboat Road South</w:t>
            </w:r>
          </w:p>
        </w:tc>
      </w:tr>
      <w:tr>
        <w:trPr>
          <w:trHeight w:val="216"/>
        </w:trPr>
        <w:tc>
          <w:tcPr>
            <w:tcW w:w="2520" w:type="dxa"/>
            <w:vAlign w:val="bottom"/>
          </w:tcPr>
          <w:p>
            <w:pPr>
              <w:spacing w:after="0"/>
              <w:rPr>
                <w:sz w:val="18"/>
                <w:szCs w:val="18"/>
                <w:color w:val="auto"/>
              </w:rPr>
            </w:pPr>
          </w:p>
        </w:tc>
        <w:tc>
          <w:tcPr>
            <w:tcW w:w="4460" w:type="dxa"/>
            <w:vAlign w:val="bottom"/>
            <w:gridSpan w:val="2"/>
          </w:tcPr>
          <w:p>
            <w:pPr>
              <w:ind w:left="780"/>
              <w:spacing w:after="0"/>
              <w:rPr>
                <w:sz w:val="20"/>
                <w:szCs w:val="20"/>
                <w:color w:val="auto"/>
              </w:rPr>
            </w:pPr>
            <w:r>
              <w:rPr>
                <w:rFonts w:ascii="Arial" w:cs="Arial" w:eastAsia="Arial" w:hAnsi="Arial"/>
                <w:sz w:val="18"/>
                <w:szCs w:val="18"/>
                <w:color w:val="auto"/>
              </w:rPr>
              <w:t>Greenwich, CT 06830</w:t>
            </w:r>
          </w:p>
        </w:tc>
      </w:tr>
      <w:tr>
        <w:trPr>
          <w:trHeight w:val="230"/>
        </w:trPr>
        <w:tc>
          <w:tcPr>
            <w:tcW w:w="2520" w:type="dxa"/>
            <w:vAlign w:val="bottom"/>
          </w:tcPr>
          <w:p>
            <w:pPr>
              <w:spacing w:after="0"/>
              <w:rPr>
                <w:sz w:val="20"/>
                <w:szCs w:val="20"/>
                <w:color w:val="auto"/>
              </w:rPr>
            </w:pPr>
          </w:p>
        </w:tc>
        <w:tc>
          <w:tcPr>
            <w:tcW w:w="4460" w:type="dxa"/>
            <w:vAlign w:val="bottom"/>
            <w:gridSpan w:val="2"/>
          </w:tcPr>
          <w:p>
            <w:pPr>
              <w:ind w:left="780"/>
              <w:spacing w:after="0"/>
              <w:rPr>
                <w:sz w:val="20"/>
                <w:szCs w:val="20"/>
                <w:color w:val="auto"/>
              </w:rPr>
            </w:pPr>
            <w:r>
              <w:rPr>
                <w:rFonts w:ascii="Arial" w:cs="Arial" w:eastAsia="Arial" w:hAnsi="Arial"/>
                <w:sz w:val="18"/>
                <w:szCs w:val="18"/>
                <w:color w:val="auto"/>
              </w:rPr>
              <w:t>Attention: Nimesh Patel</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with a copy to:</w:t>
            </w:r>
          </w:p>
        </w:tc>
        <w:tc>
          <w:tcPr>
            <w:tcW w:w="4460" w:type="dxa"/>
            <w:vAlign w:val="bottom"/>
            <w:gridSpan w:val="2"/>
          </w:tcPr>
          <w:p>
            <w:pPr>
              <w:ind w:left="780"/>
              <w:spacing w:after="0"/>
              <w:rPr>
                <w:sz w:val="20"/>
                <w:szCs w:val="20"/>
                <w:color w:val="auto"/>
              </w:rPr>
            </w:pPr>
            <w:r>
              <w:rPr>
                <w:rFonts w:ascii="Arial" w:cs="Arial" w:eastAsia="Arial" w:hAnsi="Arial"/>
                <w:sz w:val="18"/>
                <w:szCs w:val="18"/>
                <w:color w:val="auto"/>
              </w:rPr>
              <w:t>White &amp; Case LLP</w:t>
            </w:r>
          </w:p>
        </w:tc>
      </w:tr>
      <w:tr>
        <w:trPr>
          <w:trHeight w:val="216"/>
        </w:trPr>
        <w:tc>
          <w:tcPr>
            <w:tcW w:w="2520" w:type="dxa"/>
            <w:vAlign w:val="bottom"/>
          </w:tcPr>
          <w:p>
            <w:pPr>
              <w:spacing w:after="0"/>
              <w:rPr>
                <w:sz w:val="18"/>
                <w:szCs w:val="18"/>
                <w:color w:val="auto"/>
              </w:rPr>
            </w:pPr>
          </w:p>
        </w:tc>
        <w:tc>
          <w:tcPr>
            <w:tcW w:w="4460" w:type="dxa"/>
            <w:vAlign w:val="bottom"/>
            <w:gridSpan w:val="2"/>
          </w:tcPr>
          <w:p>
            <w:pPr>
              <w:ind w:left="780"/>
              <w:spacing w:after="0"/>
              <w:rPr>
                <w:sz w:val="20"/>
                <w:szCs w:val="20"/>
                <w:color w:val="auto"/>
              </w:rPr>
            </w:pPr>
            <w:r>
              <w:rPr>
                <w:rFonts w:ascii="Arial" w:cs="Arial" w:eastAsia="Arial" w:hAnsi="Arial"/>
                <w:sz w:val="18"/>
                <w:szCs w:val="18"/>
                <w:color w:val="auto"/>
              </w:rPr>
              <w:t>1221 Avenue of the Americas</w:t>
            </w:r>
          </w:p>
        </w:tc>
      </w:tr>
      <w:tr>
        <w:trPr>
          <w:trHeight w:val="216"/>
        </w:trPr>
        <w:tc>
          <w:tcPr>
            <w:tcW w:w="2520" w:type="dxa"/>
            <w:vAlign w:val="bottom"/>
          </w:tcPr>
          <w:p>
            <w:pPr>
              <w:spacing w:after="0"/>
              <w:rPr>
                <w:sz w:val="18"/>
                <w:szCs w:val="18"/>
                <w:color w:val="auto"/>
              </w:rPr>
            </w:pPr>
          </w:p>
        </w:tc>
        <w:tc>
          <w:tcPr>
            <w:tcW w:w="4460" w:type="dxa"/>
            <w:vAlign w:val="bottom"/>
            <w:gridSpan w:val="2"/>
          </w:tcPr>
          <w:p>
            <w:pPr>
              <w:ind w:left="780"/>
              <w:spacing w:after="0"/>
              <w:rPr>
                <w:sz w:val="20"/>
                <w:szCs w:val="20"/>
                <w:color w:val="auto"/>
              </w:rPr>
            </w:pPr>
            <w:r>
              <w:rPr>
                <w:rFonts w:ascii="Arial" w:cs="Arial" w:eastAsia="Arial" w:hAnsi="Arial"/>
                <w:sz w:val="18"/>
                <w:szCs w:val="18"/>
                <w:color w:val="auto"/>
              </w:rPr>
              <w:t>New York, NY 10020</w:t>
            </w:r>
          </w:p>
        </w:tc>
      </w:tr>
      <w:tr>
        <w:trPr>
          <w:trHeight w:val="216"/>
        </w:trPr>
        <w:tc>
          <w:tcPr>
            <w:tcW w:w="2520" w:type="dxa"/>
            <w:vAlign w:val="bottom"/>
          </w:tcPr>
          <w:p>
            <w:pPr>
              <w:spacing w:after="0"/>
              <w:rPr>
                <w:sz w:val="18"/>
                <w:szCs w:val="18"/>
                <w:color w:val="auto"/>
              </w:rPr>
            </w:pPr>
          </w:p>
        </w:tc>
        <w:tc>
          <w:tcPr>
            <w:tcW w:w="1560" w:type="dxa"/>
            <w:vAlign w:val="bottom"/>
          </w:tcPr>
          <w:p>
            <w:pPr>
              <w:ind w:left="780"/>
              <w:spacing w:after="0"/>
              <w:rPr>
                <w:sz w:val="20"/>
                <w:szCs w:val="20"/>
                <w:color w:val="auto"/>
              </w:rPr>
            </w:pPr>
            <w:r>
              <w:rPr>
                <w:rFonts w:ascii="Arial" w:cs="Arial" w:eastAsia="Arial" w:hAnsi="Arial"/>
                <w:sz w:val="18"/>
                <w:szCs w:val="18"/>
                <w:color w:val="auto"/>
                <w:w w:val="93"/>
              </w:rPr>
              <w:t>Facsimile:</w:t>
            </w:r>
          </w:p>
        </w:tc>
        <w:tc>
          <w:tcPr>
            <w:tcW w:w="2900" w:type="dxa"/>
            <w:vAlign w:val="bottom"/>
          </w:tcPr>
          <w:p>
            <w:pPr>
              <w:ind w:left="60"/>
              <w:spacing w:after="0"/>
              <w:rPr>
                <w:sz w:val="20"/>
                <w:szCs w:val="20"/>
                <w:color w:val="auto"/>
              </w:rPr>
            </w:pPr>
            <w:r>
              <w:rPr>
                <w:rFonts w:ascii="Arial" w:cs="Arial" w:eastAsia="Arial" w:hAnsi="Arial"/>
                <w:sz w:val="18"/>
                <w:szCs w:val="18"/>
                <w:color w:val="auto"/>
              </w:rPr>
              <w:t>(212) 354-8113</w:t>
            </w:r>
          </w:p>
        </w:tc>
      </w:tr>
      <w:tr>
        <w:trPr>
          <w:trHeight w:val="230"/>
        </w:trPr>
        <w:tc>
          <w:tcPr>
            <w:tcW w:w="2520" w:type="dxa"/>
            <w:vAlign w:val="bottom"/>
          </w:tcPr>
          <w:p>
            <w:pPr>
              <w:spacing w:after="0"/>
              <w:rPr>
                <w:sz w:val="20"/>
                <w:szCs w:val="20"/>
                <w:color w:val="auto"/>
              </w:rPr>
            </w:pPr>
          </w:p>
        </w:tc>
        <w:tc>
          <w:tcPr>
            <w:tcW w:w="1560" w:type="dxa"/>
            <w:vAlign w:val="bottom"/>
          </w:tcPr>
          <w:p>
            <w:pPr>
              <w:ind w:left="780"/>
              <w:spacing w:after="0"/>
              <w:rPr>
                <w:sz w:val="20"/>
                <w:szCs w:val="20"/>
                <w:color w:val="auto"/>
              </w:rPr>
            </w:pPr>
            <w:r>
              <w:rPr>
                <w:rFonts w:ascii="Arial" w:cs="Arial" w:eastAsia="Arial" w:hAnsi="Arial"/>
                <w:sz w:val="18"/>
                <w:szCs w:val="18"/>
                <w:color w:val="auto"/>
                <w:w w:val="99"/>
              </w:rPr>
              <w:t>Attention:</w:t>
            </w:r>
          </w:p>
        </w:tc>
        <w:tc>
          <w:tcPr>
            <w:tcW w:w="2900" w:type="dxa"/>
            <w:vAlign w:val="bottom"/>
          </w:tcPr>
          <w:p>
            <w:pPr>
              <w:ind w:left="40"/>
              <w:spacing w:after="0"/>
              <w:rPr>
                <w:sz w:val="20"/>
                <w:szCs w:val="20"/>
                <w:color w:val="auto"/>
              </w:rPr>
            </w:pPr>
            <w:r>
              <w:rPr>
                <w:rFonts w:ascii="Arial" w:cs="Arial" w:eastAsia="Arial" w:hAnsi="Arial"/>
                <w:sz w:val="18"/>
                <w:szCs w:val="18"/>
                <w:color w:val="auto"/>
              </w:rPr>
              <w:t>Elliott M. Smith</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15. Successors. </w:t>
      </w:r>
      <w:r>
        <w:rPr>
          <w:rFonts w:ascii="Arial" w:cs="Arial" w:eastAsia="Arial" w:hAnsi="Arial"/>
          <w:sz w:val="18"/>
          <w:szCs w:val="18"/>
          <w:color w:val="auto"/>
        </w:rPr>
        <w:t>This Agreement will inure to the benefit of and be binding upon the parties hereto, including any substitute</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Underwriters pursuant to Section 10 hereof, and to the benefit of the affiliates, directors, officers, employees, agents and controlling persons referred to in Section 8 and Section 9, and in each case their respective successors, and personal representatives, and no other person will have any right or obligation hereunder. The term “</w:t>
      </w:r>
      <w:r>
        <w:rPr>
          <w:rFonts w:ascii="Arial" w:cs="Arial" w:eastAsia="Arial" w:hAnsi="Arial"/>
          <w:sz w:val="18"/>
          <w:szCs w:val="18"/>
          <w:b w:val="1"/>
          <w:bCs w:val="1"/>
          <w:color w:val="auto"/>
        </w:rPr>
        <w:t>successors</w:t>
      </w:r>
      <w:r>
        <w:rPr>
          <w:rFonts w:ascii="Arial" w:cs="Arial" w:eastAsia="Arial" w:hAnsi="Arial"/>
          <w:sz w:val="18"/>
          <w:szCs w:val="18"/>
          <w:color w:val="auto"/>
        </w:rPr>
        <w:t>” shall not include any purchaser of the Offered Securities as such from any of the Underwriters merely by reason of such purchase.</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16. Partial Unenforceability. </w:t>
      </w:r>
      <w:r>
        <w:rPr>
          <w:rFonts w:ascii="Arial" w:cs="Arial" w:eastAsia="Arial" w:hAnsi="Arial"/>
          <w:sz w:val="18"/>
          <w:szCs w:val="18"/>
          <w:color w:val="auto"/>
        </w:rPr>
        <w:t>The invalidity or unenforceability of any section, paragraph or provision of this Agreement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89" w:lineRule="auto"/>
        <w:rPr>
          <w:sz w:val="20"/>
          <w:szCs w:val="20"/>
          <w:color w:val="auto"/>
        </w:rPr>
      </w:pPr>
      <w:r>
        <w:rPr>
          <w:rFonts w:ascii="Arial" w:cs="Arial" w:eastAsia="Arial" w:hAnsi="Arial"/>
          <w:sz w:val="16"/>
          <w:szCs w:val="16"/>
          <w:b w:val="1"/>
          <w:bCs w:val="1"/>
          <w:color w:val="auto"/>
        </w:rPr>
        <w:t>Section 17. Governing Law Provisions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governed by and construed in accordance with the internal laws of the State</w:t>
      </w:r>
      <w:r>
        <w:rPr>
          <w:rFonts w:ascii="Arial" w:cs="Arial" w:eastAsia="Arial" w:hAnsi="Arial"/>
          <w:sz w:val="16"/>
          <w:szCs w:val="16"/>
          <w:b w:val="1"/>
          <w:bCs w:val="1"/>
          <w:color w:val="auto"/>
        </w:rPr>
        <w:t xml:space="preserve"> </w:t>
      </w:r>
      <w:r>
        <w:rPr>
          <w:rFonts w:ascii="Arial" w:cs="Arial" w:eastAsia="Arial" w:hAnsi="Arial"/>
          <w:sz w:val="16"/>
          <w:szCs w:val="16"/>
          <w:color w:val="auto"/>
        </w:rPr>
        <w:t>of New York applicable to agreements made and to be performed in such state. Any legal suit, action or proceeding arising out of or based upon this Agreement or the transactions contemplated hereby (“</w:t>
      </w:r>
      <w:r>
        <w:rPr>
          <w:rFonts w:ascii="Arial" w:cs="Arial" w:eastAsia="Arial" w:hAnsi="Arial"/>
          <w:sz w:val="16"/>
          <w:szCs w:val="16"/>
          <w:b w:val="1"/>
          <w:bCs w:val="1"/>
          <w:color w:val="auto"/>
        </w:rPr>
        <w:t>Related Proceedings</w:t>
      </w:r>
      <w:r>
        <w:rPr>
          <w:rFonts w:ascii="Arial" w:cs="Arial" w:eastAsia="Arial" w:hAnsi="Arial"/>
          <w:sz w:val="16"/>
          <w:szCs w:val="16"/>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6"/>
          <w:szCs w:val="16"/>
          <w:b w:val="1"/>
          <w:bCs w:val="1"/>
          <w:color w:val="auto"/>
        </w:rPr>
        <w:t>Specified Courts</w:t>
      </w:r>
      <w:r>
        <w:rPr>
          <w:rFonts w:ascii="Arial" w:cs="Arial" w:eastAsia="Arial" w:hAnsi="Arial"/>
          <w:sz w:val="16"/>
          <w:szCs w:val="16"/>
          <w:color w:val="auto"/>
        </w:rPr>
        <w:t>”), and each party irrevocably submits to the exclusive jurisdiction (except for proceedings instituted in regard to the enforcement of a judgment of any such court (a “</w:t>
      </w:r>
      <w:r>
        <w:rPr>
          <w:rFonts w:ascii="Arial" w:cs="Arial" w:eastAsia="Arial" w:hAnsi="Arial"/>
          <w:sz w:val="16"/>
          <w:szCs w:val="16"/>
          <w:b w:val="1"/>
          <w:bCs w:val="1"/>
          <w:color w:val="auto"/>
        </w:rPr>
        <w:t>Related Judgment</w:t>
      </w:r>
      <w:r>
        <w:rPr>
          <w:rFonts w:ascii="Arial" w:cs="Arial" w:eastAsia="Arial" w:hAnsi="Arial"/>
          <w:sz w:val="16"/>
          <w:szCs w:val="16"/>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6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18. General Provisions. </w:t>
      </w:r>
      <w:r>
        <w:rPr>
          <w:rFonts w:ascii="Arial" w:cs="Arial" w:eastAsia="Arial" w:hAnsi="Arial"/>
          <w:sz w:val="17"/>
          <w:szCs w:val="17"/>
          <w:color w:val="auto"/>
        </w:rPr>
        <w:t>This Agreement constitutes the entire agreement of the parties to this Agreement and supersedes all prior</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Each of the parties hereto acknowledges that it is a sophisticated business person who was adequately represented by counsel during negotiations regarding the provisions hereof, including, without limitation, the indemnification provisions of Section 8 and the contribution provisions of Section 9, and is fully informed regarding said provisions. Each of the parties hereto further acknowledges that the provisions of Section 8 and Section 9 hereof fairly allocate the risks in light of the ability of the parties to investigate the Company, its affairs and its business in order to assure that adequate disclosure has been made in the Registration Statement, any preliminary prospectus, the Time of Sale Prospectus and the Prospectus (and any amendments and supplements to the foregoing), as contemplated by the Securities Act and the Exchange Act.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AMCI ACQUISITION CORP. II</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Nimesh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Nimesh Patel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Underwriting Agreement is hereby confirmed and accepted by the Representative in New York, New York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EVERCORE GROUP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Acting individually and as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the several Underwriters named in 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EVERCORE GROUP L.L.C.</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/s/ Crystal A.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Crystal A. Simpson</w:t>
      </w:r>
    </w:p>
    <w:p>
      <w:pPr>
        <w:spacing w:after="0" w:line="23"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Evercore Group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I-Bankers Securities, Inc.</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Firm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5715</wp:posOffset>
            </wp:positionV>
            <wp:extent cx="3206115"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145415"/>
                    </a:xfrm>
                    <a:prstGeom prst="rect">
                      <a:avLst/>
                    </a:prstGeom>
                    <a:noFill/>
                  </pic:spPr>
                </pic:pic>
              </a:graphicData>
            </a:graphic>
          </wp:anchor>
        </w:drawing>
      </w:r>
    </w:p>
    <w:p>
      <w:pPr>
        <w:jc w:val="right"/>
        <w:ind w:right="6240"/>
        <w:spacing w:after="0"/>
        <w:rPr>
          <w:sz w:val="20"/>
          <w:szCs w:val="20"/>
          <w:color w:val="auto"/>
        </w:rPr>
      </w:pPr>
      <w:r>
        <w:rPr>
          <w:rFonts w:ascii="Arial" w:cs="Arial" w:eastAsia="Arial" w:hAnsi="Arial"/>
          <w:sz w:val="18"/>
          <w:szCs w:val="18"/>
          <w:color w:val="auto"/>
        </w:rPr>
        <w:t>13,200,000</w:t>
      </w:r>
    </w:p>
    <w:p>
      <w:pPr>
        <w:spacing w:after="0" w:line="23" w:lineRule="exact"/>
        <w:rPr>
          <w:sz w:val="20"/>
          <w:szCs w:val="20"/>
          <w:color w:val="auto"/>
        </w:rPr>
      </w:pPr>
    </w:p>
    <w:p>
      <w:pPr>
        <w:jc w:val="right"/>
        <w:ind w:right="6240"/>
        <w:spacing w:after="0"/>
        <w:rPr>
          <w:sz w:val="20"/>
          <w:szCs w:val="20"/>
          <w:color w:val="auto"/>
        </w:rPr>
      </w:pPr>
      <w:r>
        <w:rPr>
          <w:rFonts w:ascii="Arial" w:cs="Arial" w:eastAsia="Arial" w:hAnsi="Arial"/>
          <w:sz w:val="18"/>
          <w:szCs w:val="18"/>
          <w:color w:val="auto"/>
        </w:rPr>
        <w:t>1,800,000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14605</wp:posOffset>
            </wp:positionV>
            <wp:extent cx="320611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163195"/>
                    </a:xfrm>
                    <a:prstGeom prst="rect">
                      <a:avLst/>
                    </a:prstGeom>
                    <a:noFill/>
                  </pic:spPr>
                </pic:pic>
              </a:graphicData>
            </a:graphic>
          </wp:anchor>
        </w:drawing>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15,000,000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11487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2480" w:space="720"/>
            <w:col w:w="8040"/>
          </w:cols>
          <w:pgMar w:left="320" w:top="90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Time of Delivery Information</w:t>
      </w:r>
    </w:p>
    <w:p>
      <w:pPr>
        <w:spacing w:after="0" w:line="229"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 offering price per unit: $10.00</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Number of units offered: 15,000,000</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Number of units available to cover over-allotments, if any: up to 2,250,000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Permitted Section 5(d) 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 Presentation dated Q1,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AMCI ACQUISITION CORP. II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3, 2021</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AMCI Acquisition Corp. II, a corporation organized and existing under the laws of the State of Delaware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AS FOLLOWS:</w:t>
      </w:r>
    </w:p>
    <w:p>
      <w:pPr>
        <w:spacing w:after="0" w:line="170" w:lineRule="exact"/>
        <w:rPr>
          <w:sz w:val="20"/>
          <w:szCs w:val="20"/>
          <w:color w:val="auto"/>
        </w:rPr>
      </w:pPr>
    </w:p>
    <w:p>
      <w:pPr>
        <w:ind w:firstLine="656"/>
        <w:spacing w:after="0" w:line="277" w:lineRule="auto"/>
        <w:tabs>
          <w:tab w:leader="none" w:pos="142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name of the Corporation is “AMCI Acquisition Corp. II.” The original certificate of incorporation was filed with the Secretary of State of the State of Delaware on January 28, 2021 (the “</w:t>
      </w:r>
      <w:r>
        <w:rPr>
          <w:rFonts w:ascii="Arial" w:cs="Arial" w:eastAsia="Arial" w:hAnsi="Arial"/>
          <w:sz w:val="18"/>
          <w:szCs w:val="18"/>
          <w:b w:val="1"/>
          <w:bCs w:val="1"/>
          <w:i w:val="1"/>
          <w:iCs w:val="1"/>
          <w:color w:val="auto"/>
        </w:rPr>
        <w:t>Original Certificate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(the “</w:t>
      </w:r>
      <w:r>
        <w:rPr>
          <w:rFonts w:ascii="Arial" w:cs="Arial" w:eastAsia="Arial" w:hAnsi="Arial"/>
          <w:sz w:val="18"/>
          <w:szCs w:val="18"/>
          <w:b w:val="1"/>
          <w:bCs w:val="1"/>
          <w:i w:val="1"/>
          <w:iCs w:val="1"/>
          <w:color w:val="auto"/>
        </w:rPr>
        <w:t>Amended and Restated Certificate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which both restates and amends the provisions of the Original Certificate, was duly adopted in accordance with Sections 228, 242 and 245 of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20" w:hanging="664"/>
        <w:spacing w:after="0"/>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Amended and Restated Certificate shall become effective on the date of filing with the Secretary of State of Delaware.</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capitalized terms used in this Amended and Restated Certificate are defined where appropriate herein.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text of the Original Certificate is hereby restated and amended in its entirety to read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AMCI Acquisition Corp. II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including, but not limited to, effecting a merger, capital stock exchange, asset acquisition, stock purchase, reorganization or similar business combination involving the Corporation and one or more businesses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Authorized Capital Stock</w:t>
      </w:r>
      <w:r>
        <w:rPr>
          <w:rFonts w:ascii="Arial" w:cs="Arial" w:eastAsia="Arial" w:hAnsi="Arial"/>
          <w:sz w:val="16"/>
          <w:szCs w:val="16"/>
          <w:color w:val="auto"/>
        </w:rPr>
        <w:t>. The total number of shares of all classes of capital stock, each with a par value of $0.0001</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 share, which the Corporation is authorized to issue is 301,000,000 shares, consisting of (a) 300,000,000 shares of common stock (the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(i) 280,000,000 shares of Class A common stock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and (ii) 20,000,000 shares of Class B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(b) 1,000,000 shares of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90"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Subject to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of this Amended and Restated Certificate, the Board of Directors of the Corporation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7"/>
          <w:szCs w:val="17"/>
          <w:b w:val="1"/>
          <w:bCs w:val="1"/>
          <w:i w:val="1"/>
          <w:iCs w:val="1"/>
          <w:color w:val="auto"/>
        </w:rPr>
        <w:t>Preferred Stock Designation</w:t>
      </w:r>
      <w:r>
        <w:rPr>
          <w:rFonts w:ascii="Arial" w:cs="Arial" w:eastAsia="Arial" w:hAnsi="Arial"/>
          <w:sz w:val="17"/>
          <w:szCs w:val="17"/>
          <w:color w:val="auto"/>
        </w:rPr>
        <w:t>”) filed pursuant to the DGCL, and the Board is hereby expressly vested with the authority to the full extent provided by law, now or hereafter, to adopt any such resolution or resolutions.</w:t>
      </w:r>
    </w:p>
    <w:p>
      <w:pPr>
        <w:spacing w:after="0" w:line="177"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Common Stock.</w:t>
      </w:r>
    </w:p>
    <w:p>
      <w:pPr>
        <w:spacing w:after="0" w:line="225" w:lineRule="exact"/>
        <w:rPr>
          <w:sz w:val="20"/>
          <w:szCs w:val="20"/>
          <w:color w:val="auto"/>
        </w:rPr>
      </w:pPr>
    </w:p>
    <w:p>
      <w:pPr>
        <w:ind w:left="2040" w:hanging="736"/>
        <w:spacing w:after="0"/>
        <w:tabs>
          <w:tab w:leader="none" w:pos="2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Voting.</w:t>
      </w:r>
    </w:p>
    <w:p>
      <w:pPr>
        <w:spacing w:after="0" w:line="225" w:lineRule="exact"/>
        <w:rPr>
          <w:rFonts w:ascii="Arial" w:cs="Arial" w:eastAsia="Arial" w:hAnsi="Arial"/>
          <w:sz w:val="18"/>
          <w:szCs w:val="18"/>
          <w:color w:val="auto"/>
        </w:rPr>
      </w:pPr>
    </w:p>
    <w:p>
      <w:pPr>
        <w:ind w:left="660" w:firstLine="1292"/>
        <w:spacing w:after="0" w:line="277" w:lineRule="auto"/>
        <w:tabs>
          <w:tab w:leader="none" w:pos="2963"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Except as otherwise required by law or this Amended and Restated Certificate (including any Preferred Stock Designation), the holders of the Common Stock shall exclusively possess all voting power with respect to the Corporation.</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954"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Except as otherwise required by law or this Amended and Restated Certificate (including any Preferred Stock Designation), the holders of shares of Common Stock shall be entitled to one vote for each such share on each matter properly submitted to the stockholders on which the holders of the Common Stock are entitled to vote.</w:t>
      </w:r>
    </w:p>
    <w:p>
      <w:pPr>
        <w:spacing w:after="0" w:line="183" w:lineRule="exact"/>
        <w:rPr>
          <w:rFonts w:ascii="Arial" w:cs="Arial" w:eastAsia="Arial" w:hAnsi="Arial"/>
          <w:sz w:val="18"/>
          <w:szCs w:val="18"/>
          <w:color w:val="auto"/>
        </w:rPr>
      </w:pPr>
    </w:p>
    <w:p>
      <w:pPr>
        <w:jc w:val="both"/>
        <w:ind w:left="660" w:firstLine="1292"/>
        <w:spacing w:after="0" w:line="289" w:lineRule="auto"/>
        <w:tabs>
          <w:tab w:leader="none" w:pos="2946" w:val="left"/>
        </w:tabs>
        <w:numPr>
          <w:ilvl w:val="1"/>
          <w:numId w:val="44"/>
        </w:numPr>
        <w:rPr>
          <w:rFonts w:ascii="Arial" w:cs="Arial" w:eastAsia="Arial" w:hAnsi="Arial"/>
          <w:sz w:val="16"/>
          <w:szCs w:val="16"/>
          <w:color w:val="auto"/>
        </w:rPr>
      </w:pPr>
      <w:r>
        <w:rPr>
          <w:rFonts w:ascii="Arial" w:cs="Arial" w:eastAsia="Arial" w:hAnsi="Arial"/>
          <w:sz w:val="16"/>
          <w:szCs w:val="16"/>
          <w:color w:val="auto"/>
        </w:rPr>
        <w:t>Except as otherwise required by law or this Amended and Restated Certificate (including any Preferred Stock Designation),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Amended and Restated Certificate (including any Preferred Stock Designation), holders of shares of any series of Common Stock shall not be entitled to vote on any amendment to this Amended and Restated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exclusively, either separately or together with the holders of one or more other such series, to vote thereon pursuant to this Amended and Restated Certificate (including any Preferred Stock Designation) or the DGCL.</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2000" w:hanging="696"/>
        <w:spacing w:after="0"/>
        <w:tabs>
          <w:tab w:leader="none" w:pos="2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Class B Common Stock.</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7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Shares of Class B Common Stock shall be convertible into shares of Class A Common Stock on a one-for-one basis (the “</w:t>
      </w:r>
      <w:r>
        <w:rPr>
          <w:rFonts w:ascii="Arial" w:cs="Arial" w:eastAsia="Arial" w:hAnsi="Arial"/>
          <w:sz w:val="18"/>
          <w:szCs w:val="18"/>
          <w:b w:val="1"/>
          <w:bCs w:val="1"/>
          <w:i w:val="1"/>
          <w:iCs w:val="1"/>
          <w:color w:val="auto"/>
        </w:rPr>
        <w:t>Initial Conversion Ratio</w:t>
      </w:r>
      <w:r>
        <w:rPr>
          <w:rFonts w:ascii="Arial" w:cs="Arial" w:eastAsia="Arial" w:hAnsi="Arial"/>
          <w:sz w:val="18"/>
          <w:szCs w:val="18"/>
          <w:color w:val="auto"/>
        </w:rPr>
        <w:t>”) automatically concurrently with or immediately following the closing of the Business Combination (as defined below).</w:t>
      </w:r>
    </w:p>
    <w:p>
      <w:pPr>
        <w:spacing w:after="0" w:line="183" w:lineRule="exact"/>
        <w:rPr>
          <w:rFonts w:ascii="Arial" w:cs="Arial" w:eastAsia="Arial" w:hAnsi="Arial"/>
          <w:sz w:val="18"/>
          <w:szCs w:val="18"/>
          <w:color w:val="auto"/>
        </w:rPr>
      </w:pPr>
    </w:p>
    <w:p>
      <w:pPr>
        <w:jc w:val="both"/>
        <w:ind w:left="660" w:firstLine="1292"/>
        <w:spacing w:after="0" w:line="286" w:lineRule="auto"/>
        <w:tabs>
          <w:tab w:leader="none" w:pos="2738" w:val="left"/>
        </w:tabs>
        <w:numPr>
          <w:ilvl w:val="1"/>
          <w:numId w:val="45"/>
        </w:numPr>
        <w:rPr>
          <w:rFonts w:ascii="Arial" w:cs="Arial" w:eastAsia="Arial" w:hAnsi="Arial"/>
          <w:sz w:val="16"/>
          <w:szCs w:val="16"/>
          <w:color w:val="auto"/>
        </w:rPr>
      </w:pPr>
      <w:r>
        <w:rPr>
          <w:rFonts w:ascii="Arial" w:cs="Arial" w:eastAsia="Arial" w:hAnsi="Arial"/>
          <w:sz w:val="16"/>
          <w:szCs w:val="16"/>
          <w:color w:val="auto"/>
        </w:rPr>
        <w:t>Notwithstanding the Initial Conversion Ratio, in the case that additional shares of Class A Common Stock or equity-linked securities are issued or deemed issued in excess of the amounts sold in the Corporation’s initial public offering of securities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and related to or in connection with the closing of the initial Business Combination (as defined below), all issued and outstanding shares of Class B Common Stock shall automatically convert into shares of Class A Common Stock at the time of the closing of the Corporation’s initial Business Combination, the ratio for which the shares of Class B Common Stock shall convert into shares of Class A Common Stock will be adjusted so that the number of shares of Class A Common Stock issuable upon conversion of all shares of Class B Common Stock will equal, in the aggregate, 25% of the sum of (a) the total number of all shares of Class A Common Stock issued in the Offering (including any shares of Class A Common Stock issued pursuant to the underwriters’ over-allotment option) plus (b) the sum of (i) all shares of Class A Common Stock issued or deemed issued or issuable upon conversion or exercise of any equity-linked securities or rights issued or deemed issued in connection with or in relation to the consummation of a Business Combination (including any shares of Class A Common Stock issued pursuant to a forward purchase agreement), excluding any shares of Class A Common Stock or equity-linked securities or rights issued, or to be issued, to any seller in a Business Combination, any private placement warrants issued to AMCI Sponsor II LLC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or an affiliate of the Sponsor or the Corporation’s officers and directors upon the conversion of working capital loans made to the Corporation and any warrants issued pursuant to a forward purchase agreement, minus (ii) the number of shares of Class A Common Stock redeemed in connection with a Business Combination, provided that such conversion of shares of Class B Common Stock shall never be less than the Initial Conversion Ratio.</w:t>
      </w:r>
    </w:p>
    <w:p>
      <w:pPr>
        <w:spacing w:after="0" w:line="16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outstanding consenting or agreeing separately as a single class in the manner provided in </w:t>
      </w:r>
      <w:r>
        <w:rPr>
          <w:rFonts w:ascii="Arial" w:cs="Arial" w:eastAsia="Arial" w:hAnsi="Arial"/>
          <w:sz w:val="16"/>
          <w:szCs w:val="16"/>
          <w:u w:val="single" w:color="auto"/>
          <w:color w:val="auto"/>
        </w:rPr>
        <w:t>Section 4.3(b)(iii)</w:t>
      </w:r>
      <w:r>
        <w:rPr>
          <w:rFonts w:ascii="Arial" w:cs="Arial" w:eastAsia="Arial" w:hAnsi="Arial"/>
          <w:sz w:val="16"/>
          <w:szCs w:val="16"/>
          <w:color w:val="auto"/>
        </w:rPr>
        <w:t>, and (ii) in no event shall the Class B Common Stock convert into Class A Common Stock at a ratio that is less than one-for-one.</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this Amended and Restated Certificate without a proportionate and corresponding subdivision, combination or similar reclassification or recapitalization of the outstanding shares of Class B Common Stock.</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Each share of Class B Common Stock shall convert into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number of shares of Class A Common Stock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and the denominator of which shall be the total number of issued and outstanding shares of Class B Common Stock at the time of conversion.</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left="660" w:firstLine="1292"/>
        <w:spacing w:after="0" w:line="268" w:lineRule="auto"/>
        <w:tabs>
          <w:tab w:leader="none" w:pos="2716" w:val="left"/>
        </w:tabs>
        <w:numPr>
          <w:ilvl w:val="1"/>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Except as otherwise required by law or this Amended and Restated Certificate (including any 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Designation), for so long as any shares of Class B Common Stock shall remain outstanding, the Corporation shall not, without the prior vote or written consent of the holders of a majority of the shares of Class B Common Stock then outstanding, voting separately as a single class, amend, alter or repeal any provision of this Amended and Restated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179" w:lineRule="exact"/>
        <w:rPr>
          <w:rFonts w:ascii="Arial" w:cs="Arial" w:eastAsia="Arial" w:hAnsi="Arial"/>
          <w:sz w:val="17"/>
          <w:szCs w:val="17"/>
          <w:color w:val="auto"/>
        </w:rPr>
      </w:pPr>
    </w:p>
    <w:p>
      <w:pPr>
        <w:jc w:val="both"/>
        <w:ind w:right="20" w:firstLine="1304"/>
        <w:spacing w:after="0" w:line="279" w:lineRule="auto"/>
        <w:tabs>
          <w:tab w:leader="none" w:pos="2103"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Subject to applicable law, the rights, if any, of the holders of any outstanding series of the Preferred Stock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provisions of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hereof, the holders of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71" w:lineRule="exact"/>
        <w:rPr>
          <w:rFonts w:ascii="Arial" w:cs="Arial" w:eastAsia="Arial" w:hAnsi="Arial"/>
          <w:sz w:val="17"/>
          <w:szCs w:val="17"/>
          <w:color w:val="auto"/>
        </w:rPr>
      </w:pPr>
    </w:p>
    <w:p>
      <w:pPr>
        <w:jc w:val="both"/>
        <w:ind w:firstLine="1304"/>
        <w:spacing w:after="0" w:line="257" w:lineRule="auto"/>
        <w:tabs>
          <w:tab w:leader="none" w:pos="2113"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Liquidation, Dissolution or Winding Up of the Corporation. </w:t>
      </w:r>
      <w:r>
        <w:rPr>
          <w:rFonts w:ascii="Arial" w:cs="Arial" w:eastAsia="Arial" w:hAnsi="Arial"/>
          <w:sz w:val="18"/>
          <w:szCs w:val="18"/>
          <w:color w:val="auto"/>
        </w:rPr>
        <w:t>Subject to applicable law, the rights, if any, of the holders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outstanding series of the Preferred Stock and the provisions of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hereof,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Common Stock held by them.</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Board Powers</w:t>
      </w:r>
      <w:r>
        <w:rPr>
          <w:rFonts w:ascii="Arial" w:cs="Arial" w:eastAsia="Arial" w:hAnsi="Arial"/>
          <w:sz w:val="16"/>
          <w:szCs w:val="16"/>
          <w:color w:val="auto"/>
        </w:rPr>
        <w:t>. The business and affairs of the Corporation shall be managed by, or under the direction of, the Board.</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addition to the powers and authority expressly conferred upon the Board by statute, this Amended and Restated Certificate or the By Laws of the Corporation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By Laws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Board is hereby empowered to exercise all such powers and do all such acts and things as may be exercised or done by the Corporation, subject, nevertheless, to the provisions of the DGCL, this Amended and Restated Certificate and any By Laws adopted by the stockholders; provided, however, that no By Laws hereafter adopted by the stockholders shall invalidate any prior act of the Board that would have been valid if such By Laws had not been adopted.</w:t>
      </w:r>
    </w:p>
    <w:p>
      <w:pPr>
        <w:spacing w:after="0" w:line="19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Number, Election and Term.</w:t>
      </w:r>
    </w:p>
    <w:p>
      <w:pPr>
        <w:spacing w:after="0" w:line="225" w:lineRule="exact"/>
        <w:rPr>
          <w:sz w:val="20"/>
          <w:szCs w:val="20"/>
          <w:color w:val="auto"/>
        </w:rPr>
      </w:pPr>
    </w:p>
    <w:p>
      <w:pPr>
        <w:jc w:val="both"/>
        <w:ind w:firstLine="1304"/>
        <w:spacing w:after="0" w:line="263" w:lineRule="auto"/>
        <w:tabs>
          <w:tab w:leader="none" w:pos="211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83" w:lineRule="exact"/>
        <w:rPr>
          <w:rFonts w:ascii="Arial" w:cs="Arial" w:eastAsia="Arial" w:hAnsi="Arial"/>
          <w:sz w:val="18"/>
          <w:szCs w:val="18"/>
          <w:color w:val="auto"/>
        </w:rPr>
      </w:pPr>
    </w:p>
    <w:p>
      <w:pPr>
        <w:jc w:val="both"/>
        <w:ind w:firstLine="1304"/>
        <w:spacing w:after="0" w:line="285" w:lineRule="auto"/>
        <w:tabs>
          <w:tab w:leader="none" w:pos="2329"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hereof, the Board shall be divided into three classes, as nearly equal in number as possible and designated Class I, Class II and Class III. The Board is authorized to assign members of the Board already in office to Class I, Class II or Class III. The term of the initial Class I Directors shall expire at the first annual meeting of the stockholders of the Corporation following the effectiveness of this Amended and Restated Certificate, the term of the initial Class II Directors shall expire at the second annual meeting of the stockholders of the Corporation following the effectiveness of this Amended and Restated Certificate and the term of the initial Class III Directors shall expire at the third annual meeting of the stockholders of the Corporation following the effectiveness of this Amended and Restated Certificate. At each succeeding annual meeting of the stockholders of the Corporation, beginning with the first annual meeting of the stockholders of the Corporation following the effectiveness of this Amended and Restated Certificate, each of the successors elected to replace the class of directors whose term expires at that annual meeting shall be elected for a three-year term or until the election and qualification of their respective successors in office, subject to their earlier death, resignation or removal. Subject to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hereof, if the number of directors that constitutes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Amended and Restated Certificate (and therefore such classification) becomes effective in accordance with the DGCL.</w:t>
      </w:r>
    </w:p>
    <w:p>
      <w:pPr>
        <w:spacing w:after="0" w:line="176" w:lineRule="exact"/>
        <w:rPr>
          <w:rFonts w:ascii="Arial" w:cs="Arial" w:eastAsia="Arial" w:hAnsi="Arial"/>
          <w:sz w:val="16"/>
          <w:szCs w:val="16"/>
          <w:color w:val="auto"/>
        </w:rPr>
      </w:pPr>
    </w:p>
    <w:p>
      <w:pPr>
        <w:jc w:val="both"/>
        <w:ind w:firstLine="1304"/>
        <w:spacing w:after="0" w:line="263" w:lineRule="auto"/>
        <w:tabs>
          <w:tab w:leader="none" w:pos="2076"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a director shall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Unless and except to the extent that the By Laws shall so require, the election of directors need not be by written ballot.</w:t>
      </w: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296"/>
        <w:spacing w:after="0" w:line="25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Removal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any or all of the directors may be removed from office at any time, but only for cause and only by the affirmative vote of holders of a majority of the voting power of all then outstanding shares of capital stock of the Corporation entitled to vote generally in the election of directors, voting together as a single class.</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Preferred Stock - Directors</w:t>
      </w:r>
      <w:r>
        <w:rPr>
          <w:rFonts w:ascii="Arial" w:cs="Arial" w:eastAsia="Arial" w:hAnsi="Arial"/>
          <w:sz w:val="17"/>
          <w:szCs w:val="17"/>
          <w:color w:val="auto"/>
        </w:rPr>
        <w:t xml:space="preserve">. Notwithstanding any other provision of this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Amended and Restated Certificate (including any Preferred Stock Designation) and such directors shall not be included in any of the classes created pursuant to this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unless expressly provided by such terms.</w:t>
      </w:r>
    </w:p>
    <w:p>
      <w:pPr>
        <w:spacing w:after="0" w:line="176"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6"/>
          <w:szCs w:val="16"/>
          <w:u w:val="single" w:color="auto"/>
          <w:color w:val="auto"/>
        </w:rPr>
        <w:t>Quorum</w:t>
      </w:r>
      <w:r>
        <w:rPr>
          <w:rFonts w:ascii="Arial" w:cs="Arial" w:eastAsia="Arial" w:hAnsi="Arial"/>
          <w:sz w:val="16"/>
          <w:szCs w:val="16"/>
          <w:color w:val="auto"/>
        </w:rPr>
        <w:t>. A quorum for the transaction of business by the directors shall be set forth in the By Laws.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LAWS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furtherance and not in limitation of the powers conferred upon it by law, the Board shall have the power and is expressly authorized to adopt, amend, alter or repeal the By Laws. The affirmative vote of a majority of the Board shall be required to adopt, amend, alter or repeal the By Laws. The By Laws also may be adopted, amended, altered or repealed by the stockholders; provided, however, that in addition to any vote of the holders of any class or series of capital stock of the Corporation required by law or by this Amended and Restated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to adopt, amend, alter or repeal the By Laws; and provided further, however, that no By Laws hereafter adopted by the stockholders shall invalidate any prior act of the Board that would have been valid if such By Laws had not been adopted.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 ACTION BY WRITTEN CONSENT</w:t>
      </w:r>
    </w:p>
    <w:p>
      <w:pPr>
        <w:spacing w:after="0" w:line="21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Meetings</w:t>
      </w:r>
      <w:r>
        <w:rPr>
          <w:rFonts w:ascii="Arial" w:cs="Arial" w:eastAsia="Arial" w:hAnsi="Arial"/>
          <w:sz w:val="18"/>
          <w:szCs w:val="18"/>
          <w:color w:val="auto"/>
        </w:rPr>
        <w:t>.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to call a special meeting is hereby specifically denied. Except as provided in the foregoing sentence, special meetings of stockholders may not be called by another person or persons.</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Advance Notice</w:t>
      </w:r>
      <w:r>
        <w:rPr>
          <w:rFonts w:ascii="Arial" w:cs="Arial" w:eastAsia="Arial" w:hAnsi="Arial"/>
          <w:sz w:val="18"/>
          <w:szCs w:val="18"/>
          <w:color w:val="auto"/>
        </w:rPr>
        <w:t>. Advance notice of stockholder nominations for the election of directors and of business to be brought by stockholders before any meeting of the stockholders of the Corporation shall be given in the manner provided in the By Laws.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1296"/>
        <w:spacing w:after="0" w:line="25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Except as may be otherwise provided for or fixed pursuant to this Amended and Restated Certificate (including any Preferred Stock Designation) relating to the rights of the holders of any outstanding series of Preferred Stock, subsequent to the consummation of the Offering, any action required or permitted to be taken by the stockholders of the Corporation must be effected by a duly called annual or special meeting of such stockholders and may not be effected by written consent of the stockholders other than with respect to the Class B Common Stock with respect to which action may be taken by written consent.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7"/>
          <w:szCs w:val="17"/>
          <w:u w:val="single" w:color="auto"/>
          <w:color w:val="auto"/>
        </w:rPr>
        <w:t>Limitation of Director Liability</w:t>
      </w:r>
      <w:r>
        <w:rPr>
          <w:rFonts w:ascii="Arial" w:cs="Arial" w:eastAsia="Arial" w:hAnsi="Arial"/>
          <w:sz w:val="17"/>
          <w:szCs w:val="17"/>
          <w:color w:val="auto"/>
        </w:rPr>
        <w:t>. A director of the Corporation shall not be personally liable to the Corporation or its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stockholders for monetary damages for breach of fiduciary duty as a director, except to the extent such exemption from liability or limitation thereof is not permitted under the DGCL as the same exists or may hereafter be amended unless a director violated his or her duty of loyalty to the Corporation or its stockholders, acted in bad faith, knowingly or intentionally violated the law, authorized unlawful payments of dividends, unlawful stock purchases or unlawful redemptions, or derived improper personal benefit from his or her actions as a director.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94"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Indemnification and Advancement of Expenses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5" w:lineRule="auto"/>
        <w:tabs>
          <w:tab w:leader="none" w:pos="226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otherwise. The rights to indemnification and advancement of expenses conferred by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Arial" w:cs="Arial" w:eastAsia="Arial" w:hAnsi="Arial"/>
          <w:sz w:val="16"/>
          <w:szCs w:val="16"/>
          <w:u w:val="single" w:color="auto"/>
          <w:color w:val="auto"/>
        </w:rPr>
        <w:t>Section 8.2(a)</w:t>
      </w:r>
      <w:r>
        <w:rPr>
          <w:rFonts w:ascii="Arial" w:cs="Arial" w:eastAsia="Arial" w:hAnsi="Arial"/>
          <w:sz w:val="16"/>
          <w:szCs w:val="16"/>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73" w:lineRule="exact"/>
        <w:rPr>
          <w:rFonts w:ascii="Arial" w:cs="Arial" w:eastAsia="Arial" w:hAnsi="Arial"/>
          <w:sz w:val="16"/>
          <w:szCs w:val="16"/>
          <w:color w:val="auto"/>
        </w:rPr>
      </w:pPr>
    </w:p>
    <w:p>
      <w:pPr>
        <w:jc w:val="both"/>
        <w:ind w:firstLine="1304"/>
        <w:spacing w:after="0" w:line="263" w:lineRule="auto"/>
        <w:tabs>
          <w:tab w:leader="none" w:pos="22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rights to indemnification and advancement of expenses conferred on any indemnitee by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be exclusive of any other rights that any indemnitee may have or hereafter acquire under law, this Amended and Restated Certificate, the By Laws, an agreement, vote of stockholders or disinterested directors, or otherwise.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1304"/>
        <w:spacing w:after="0" w:line="293" w:lineRule="auto"/>
        <w:tabs>
          <w:tab w:leader="none" w:pos="2116"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Any repeal or amendment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by the stockholders of the Corporation or by changes in law, or the adoption of any other provision of this Amended and Restated Certificate inconsistent with this </w:t>
      </w:r>
      <w:r>
        <w:rPr>
          <w:rFonts w:ascii="Arial" w:cs="Arial" w:eastAsia="Arial" w:hAnsi="Arial"/>
          <w:sz w:val="16"/>
          <w:szCs w:val="16"/>
          <w:u w:val="single" w:color="auto"/>
          <w:color w:val="auto"/>
        </w:rPr>
        <w:t>Section 8.2</w:t>
      </w:r>
      <w:r>
        <w:rPr>
          <w:rFonts w:ascii="Arial" w:cs="Arial" w:eastAsia="Arial" w:hAnsi="Arial"/>
          <w:sz w:val="16"/>
          <w:szCs w:val="16"/>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64" w:lineRule="exact"/>
        <w:rPr>
          <w:rFonts w:ascii="Arial" w:cs="Arial" w:eastAsia="Arial" w:hAnsi="Arial"/>
          <w:sz w:val="16"/>
          <w:szCs w:val="16"/>
          <w:color w:val="auto"/>
        </w:rPr>
      </w:pPr>
    </w:p>
    <w:p>
      <w:pPr>
        <w:ind w:firstLine="1304"/>
        <w:spacing w:after="0" w:line="277" w:lineRule="auto"/>
        <w:tabs>
          <w:tab w:leader="none" w:pos="2086"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limit the right of the Corporation, to the extent and in the manner authorized or permitted by law, to indemnify and to advance expenses to persons other than indemnitees.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 REQUIREMENTS; EXISTENCE</w:t>
      </w:r>
    </w:p>
    <w:p>
      <w:pPr>
        <w:spacing w:after="0" w:line="211"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5"/>
          <w:szCs w:val="15"/>
          <w:u w:val="single" w:color="auto"/>
          <w:color w:val="auto"/>
        </w:rPr>
        <w:t>General.</w:t>
      </w:r>
    </w:p>
    <w:p>
      <w:pPr>
        <w:spacing w:after="0" w:line="225" w:lineRule="exact"/>
        <w:rPr>
          <w:sz w:val="20"/>
          <w:szCs w:val="20"/>
          <w:color w:val="auto"/>
        </w:rPr>
      </w:pPr>
    </w:p>
    <w:p>
      <w:pPr>
        <w:jc w:val="both"/>
        <w:ind w:firstLine="1304"/>
        <w:spacing w:after="0" w:line="259" w:lineRule="auto"/>
        <w:tabs>
          <w:tab w:leader="none" w:pos="226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shall apply during the period commencing upon the effectiveness of this Amended and Restated Certificate and terminating upon the consummation of the Corporation’s initial Business Combination and no amendment to this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shall be effective prior to the consummation of the initial Business Combination unless approved by the affirmative vote of the holders of at least sixty-five percent (65%) of all then outstanding shares of the Common Stock.</w:t>
      </w:r>
    </w:p>
    <w:p>
      <w:pPr>
        <w:spacing w:after="0" w:line="186" w:lineRule="exact"/>
        <w:rPr>
          <w:rFonts w:ascii="Arial" w:cs="Arial" w:eastAsia="Arial" w:hAnsi="Arial"/>
          <w:sz w:val="18"/>
          <w:szCs w:val="18"/>
          <w:color w:val="auto"/>
        </w:rPr>
      </w:pPr>
    </w:p>
    <w:p>
      <w:pPr>
        <w:jc w:val="both"/>
        <w:ind w:firstLine="1304"/>
        <w:spacing w:after="0" w:line="269" w:lineRule="auto"/>
        <w:tabs>
          <w:tab w:leader="none" w:pos="2234" w:val="left"/>
        </w:tabs>
        <w:numPr>
          <w:ilvl w:val="0"/>
          <w:numId w:val="51"/>
        </w:numPr>
        <w:rPr>
          <w:rFonts w:ascii="Arial" w:cs="Arial" w:eastAsia="Arial" w:hAnsi="Arial"/>
          <w:sz w:val="17"/>
          <w:szCs w:val="17"/>
          <w:color w:val="auto"/>
        </w:rPr>
      </w:pPr>
      <w:r>
        <w:rPr>
          <w:rFonts w:ascii="Arial" w:cs="Arial" w:eastAsia="Arial" w:hAnsi="Arial"/>
          <w:sz w:val="17"/>
          <w:szCs w:val="17"/>
          <w:color w:val="auto"/>
        </w:rPr>
        <w:t>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initially filed with the U.S.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on February 12, 2021, as amended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shall be deposited in a trust account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 xml:space="preserve">”), established for the benefit of the Public Stockholders (as defined below) pursuant to a trust agreement described in the Registration Statement. Except for the withdrawal of interest to pay taxes, none of the funds held in the Trust Account (including the interest earned on the funds held in the Trust Account) will be released from the Trust Account until the earliest to occur of (i) the completion of the initial Business Combination, (ii) the redemption of 100% of the Offering Shares (as defined below) if the Corporation is unable to complete its initial Business Combination within 24 months from the closing of the Offering and (iii) the redemption of shares in connection with a vote seeking to amend such provisions of this Amended and Restated Certificate as described in </w:t>
      </w:r>
      <w:r>
        <w:rPr>
          <w:rFonts w:ascii="Arial" w:cs="Arial" w:eastAsia="Arial" w:hAnsi="Arial"/>
          <w:sz w:val="17"/>
          <w:szCs w:val="17"/>
          <w:u w:val="single" w:color="auto"/>
          <w:color w:val="auto"/>
        </w:rPr>
        <w:t>Section 9.7</w:t>
      </w:r>
      <w:r>
        <w:rPr>
          <w:rFonts w:ascii="Arial" w:cs="Arial" w:eastAsia="Arial" w:hAnsi="Arial"/>
          <w:sz w:val="17"/>
          <w:szCs w:val="17"/>
          <w:color w:val="auto"/>
        </w:rPr>
        <w:t>. Holders of shares of Common Stock included as part of the units sold in the Offering (the “</w:t>
      </w:r>
      <w:r>
        <w:rPr>
          <w:rFonts w:ascii="Arial" w:cs="Arial" w:eastAsia="Arial" w:hAnsi="Arial"/>
          <w:sz w:val="17"/>
          <w:szCs w:val="17"/>
          <w:b w:val="1"/>
          <w:bCs w:val="1"/>
          <w:i w:val="1"/>
          <w:iCs w:val="1"/>
          <w:color w:val="auto"/>
        </w:rPr>
        <w:t>Offering Shares</w:t>
      </w:r>
      <w:r>
        <w:rPr>
          <w:rFonts w:ascii="Arial" w:cs="Arial" w:eastAsia="Arial" w:hAnsi="Arial"/>
          <w:sz w:val="17"/>
          <w:szCs w:val="17"/>
          <w:color w:val="auto"/>
        </w:rPr>
        <w:t>”) (whether such Offering Shares were purchased in the Offering or in the secondary market following the Offering and whether or not such holders are the Sponsor or officers or directors of the Corporation, or affiliates of any of the foregoing) are referred to herein as “</w:t>
      </w:r>
      <w:r>
        <w:rPr>
          <w:rFonts w:ascii="Arial" w:cs="Arial" w:eastAsia="Arial" w:hAnsi="Arial"/>
          <w:sz w:val="17"/>
          <w:szCs w:val="17"/>
          <w:b w:val="1"/>
          <w:bCs w:val="1"/>
          <w:i w:val="1"/>
          <w:iCs w:val="1"/>
          <w:color w:val="auto"/>
        </w:rPr>
        <w:t>Public Stockholders</w:t>
      </w:r>
      <w:r>
        <w:rPr>
          <w:rFonts w:ascii="Arial" w:cs="Arial" w:eastAsia="Arial" w:hAnsi="Arial"/>
          <w:sz w:val="17"/>
          <w:szCs w:val="17"/>
          <w:color w:val="auto"/>
        </w:rPr>
        <w:t>.”</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left="1300"/>
        <w:spacing w:after="0"/>
        <w:tabs>
          <w:tab w:leader="none" w:pos="264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Redemption Rights.</w:t>
      </w:r>
    </w:p>
    <w:p>
      <w:pPr>
        <w:spacing w:after="0" w:line="225" w:lineRule="exact"/>
        <w:rPr>
          <w:sz w:val="20"/>
          <w:szCs w:val="20"/>
          <w:color w:val="auto"/>
        </w:rPr>
      </w:pPr>
    </w:p>
    <w:p>
      <w:pPr>
        <w:jc w:val="both"/>
        <w:ind w:firstLine="1304"/>
        <w:spacing w:after="0" w:line="254" w:lineRule="auto"/>
        <w:tabs>
          <w:tab w:leader="none" w:pos="2157"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Prior to the consummation of the initial Business Combination, the Corporation shall provide all holders of Offering Shares with the opportunity to have their Offering Shares redeemed upon the consummation of the initial Business Combination pursuant to, and subject to the limitations of, </w:t>
      </w:r>
      <w:r>
        <w:rPr>
          <w:rFonts w:ascii="Arial" w:cs="Arial" w:eastAsia="Arial" w:hAnsi="Arial"/>
          <w:sz w:val="18"/>
          <w:szCs w:val="18"/>
          <w:u w:val="single" w:color="auto"/>
          <w:color w:val="auto"/>
        </w:rPr>
        <w:t>Sections 9.2(b)</w:t>
      </w:r>
      <w:r>
        <w:rPr>
          <w:rFonts w:ascii="Arial" w:cs="Arial" w:eastAsia="Arial" w:hAnsi="Arial"/>
          <w:sz w:val="18"/>
          <w:szCs w:val="18"/>
          <w:color w:val="auto"/>
        </w:rPr>
        <w:t xml:space="preserve"> an</w:t>
      </w:r>
      <w:r>
        <w:rPr>
          <w:rFonts w:ascii="Arial" w:cs="Arial" w:eastAsia="Arial" w:hAnsi="Arial"/>
          <w:sz w:val="18"/>
          <w:szCs w:val="18"/>
          <w:u w:val="single" w:color="auto"/>
          <w:color w:val="auto"/>
        </w:rPr>
        <w:t>d 9.2(c)</w:t>
      </w:r>
      <w:r>
        <w:rPr>
          <w:rFonts w:ascii="Arial" w:cs="Arial" w:eastAsia="Arial" w:hAnsi="Arial"/>
          <w:sz w:val="18"/>
          <w:szCs w:val="18"/>
          <w:color w:val="auto"/>
        </w:rPr>
        <w:t xml:space="preserve"> (such rights of such holders to have their Offering Shares redeemed pursuant to such Sections, the “</w:t>
      </w: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Rights</w:t>
      </w:r>
      <w:r>
        <w:rPr>
          <w:rFonts w:ascii="Arial" w:cs="Arial" w:eastAsia="Arial" w:hAnsi="Arial"/>
          <w:sz w:val="18"/>
          <w:szCs w:val="18"/>
          <w:color w:val="auto"/>
        </w:rPr>
        <w:t>”) hereof for cash equal to the applicable redemption price per share determined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 9.2(b)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 (the “</w:t>
      </w:r>
      <w:r>
        <w:rPr>
          <w:rFonts w:ascii="Arial" w:cs="Arial" w:eastAsia="Arial" w:hAnsi="Arial"/>
          <w:sz w:val="18"/>
          <w:szCs w:val="18"/>
          <w:b w:val="1"/>
          <w:bCs w:val="1"/>
          <w:i w:val="1"/>
          <w:iCs w:val="1"/>
          <w:color w:val="auto"/>
        </w:rPr>
        <w:t>Redemption Price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however, that the Corporation shall not redeem Offering Shares in an amount that would cause the Corporation to have net tangible assets to be less than $5,000,001 (such limitation hereinafter called the “</w:t>
      </w:r>
      <w:r>
        <w:rPr>
          <w:rFonts w:ascii="Arial" w:cs="Arial" w:eastAsia="Arial" w:hAnsi="Arial"/>
          <w:sz w:val="18"/>
          <w:szCs w:val="18"/>
          <w:b w:val="1"/>
          <w:bCs w:val="1"/>
          <w:i w:val="1"/>
          <w:iCs w:val="1"/>
          <w:color w:val="auto"/>
        </w:rPr>
        <w:t>Redemption Limitation</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Notwithstanding anything to the contrary contained in this Amended and Restated Certificate, there shall be no Redemption Rights or liquidating distributions with respect to any warrant issued pursuant to the Offering.</w:t>
      </w:r>
    </w:p>
    <w:p>
      <w:pPr>
        <w:spacing w:after="0" w:line="191" w:lineRule="exact"/>
        <w:rPr>
          <w:rFonts w:ascii="Arial" w:cs="Arial" w:eastAsia="Arial" w:hAnsi="Arial"/>
          <w:sz w:val="18"/>
          <w:szCs w:val="18"/>
          <w:color w:val="auto"/>
        </w:rPr>
      </w:pPr>
    </w:p>
    <w:p>
      <w:pPr>
        <w:jc w:val="both"/>
        <w:ind w:firstLine="1304"/>
        <w:spacing w:after="0" w:line="284" w:lineRule="auto"/>
        <w:tabs>
          <w:tab w:leader="none" w:pos="2059"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Corporation offers to redeem the Offering Shares other than in conjunction with a stockholder vote on an initial Business Combination with a proxy solicitation pursuant to Regulation 14A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(or any successor rules or regulations) and filing proxy materials with the SEC, the Corporation shall offer to redeem the Offering Shares upon the consummation of the initial Business Combination, subject to lawfully available funds therefor, in accordance with the provisions of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hereof pursuant to a tender offer in accordance with Rule 13e-4 and Regulation 14E of the Exchange Act (or any successor rule or regulation) (such rules and regulations hereinafter called the “</w:t>
      </w:r>
      <w:r>
        <w:rPr>
          <w:rFonts w:ascii="Arial" w:cs="Arial" w:eastAsia="Arial" w:hAnsi="Arial"/>
          <w:sz w:val="16"/>
          <w:szCs w:val="16"/>
          <w:b w:val="1"/>
          <w:bCs w:val="1"/>
          <w:i w:val="1"/>
          <w:iCs w:val="1"/>
          <w:color w:val="auto"/>
        </w:rPr>
        <w:t>Tender Offer Rules</w:t>
      </w:r>
      <w:r>
        <w:rPr>
          <w:rFonts w:ascii="Arial" w:cs="Arial" w:eastAsia="Arial" w:hAnsi="Arial"/>
          <w:sz w:val="16"/>
          <w:szCs w:val="16"/>
          <w:color w:val="auto"/>
        </w:rPr>
        <w:t>”) which it shall commence prior to the consummation of the initial Business Combination and shall file tender offer documents with the SEC prior to the consummation of the initial Business Combination that contain substantially the same financial and other information about the initial Business Combination and the Redemption Rights as is required under Regulation 14A of the Exchange Act (or any successor rule or regulation) (such rules and regulations hereinafter called the “</w:t>
      </w:r>
      <w:r>
        <w:rPr>
          <w:rFonts w:ascii="Arial" w:cs="Arial" w:eastAsia="Arial" w:hAnsi="Arial"/>
          <w:sz w:val="16"/>
          <w:szCs w:val="16"/>
          <w:b w:val="1"/>
          <w:bCs w:val="1"/>
          <w:i w:val="1"/>
          <w:iCs w:val="1"/>
          <w:color w:val="auto"/>
        </w:rPr>
        <w:t>Proxy Solicitation Rules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even if such information is not required under the Tender Offer Rules; provided, however, that if a stockholder vote is required by law to approve the proposed initial Business Combination, or the Corporation decides to submit the proposed initial Business Combination to the stockholders for their approval for business or other legal reasons, the Corporation shall offer to redeem the Offering Shares, subject to lawfully available funds therefor, in accordance with the provisions of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hereof in conjunction with a proxy solicitation pursuant to the Proxy Solicitation Rules (and not the Tender Offer Rules) at a price per share equal to the Redemption Price calculated in accordance with the following provisions of this </w:t>
      </w:r>
      <w:r>
        <w:rPr>
          <w:rFonts w:ascii="Arial" w:cs="Arial" w:eastAsia="Arial" w:hAnsi="Arial"/>
          <w:sz w:val="16"/>
          <w:szCs w:val="16"/>
          <w:u w:val="single" w:color="auto"/>
          <w:color w:val="auto"/>
        </w:rPr>
        <w:t>Section 9.2(b)</w:t>
      </w:r>
      <w:r>
        <w:rPr>
          <w:rFonts w:ascii="Arial" w:cs="Arial" w:eastAsia="Arial" w:hAnsi="Arial"/>
          <w:sz w:val="16"/>
          <w:szCs w:val="16"/>
          <w:color w:val="auto"/>
        </w:rPr>
        <w:t>. In the event that the Corporation offers to redeem the Offering Shares pursuant to a tender offer in accordance with the Tender Offer Rules, the Redemption Price per share of the Common Stock payable to holders of the Offering Shares tendering their Offering Shares pursuant to such tender offer shall be equal to the quotient obtained by dividing: (i) the aggregate amount on deposit in the Trust Account as of two business days prior to the consummation of the initial Business Combination, including interest not previously released to the Corporation to pay its taxes, by (ii) the total number of then outstanding Offering Shares. If the Corporation offers to redeem the Offering Shares in conjunction with a stockholder vote on the proposed initial Business Combination pursuant to a proxy solicitation, the Redemption Price per share of the Common Stock payable to holders of the Offering Shares exercising their Redemption Rights (irrespective of whether they voted in favor or against the Business Combination) shall be equal to the quotient obtained by dividing: (x) the aggregate amount on deposit in the Trust Account as of two business days prior to the consummation of the initial Business Combination, including interest not previously released to the Corporation to pay its taxes, by (y) the total number of then outstanding Offering Shares.</w:t>
      </w:r>
    </w:p>
    <w:p>
      <w:pPr>
        <w:spacing w:after="0" w:line="394" w:lineRule="exact"/>
        <w:rPr>
          <w:rFonts w:ascii="Arial" w:cs="Arial" w:eastAsia="Arial" w:hAnsi="Arial"/>
          <w:sz w:val="16"/>
          <w:szCs w:val="16"/>
          <w:color w:val="auto"/>
        </w:rPr>
      </w:pPr>
    </w:p>
    <w:p>
      <w:pPr>
        <w:jc w:val="both"/>
        <w:ind w:firstLine="1304"/>
        <w:spacing w:after="0" w:line="279" w:lineRule="auto"/>
        <w:tabs>
          <w:tab w:leader="none" w:pos="2359"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the Corporation offers to redeem the Offering Shares in conjunction with a stockholder vote on an initial Business Combination pursuant to a proxy solicitation, a Public Stockholder, together with any affiliate of such stockholder or any other person with whom such stockholder is acting in concert or as a “</w:t>
      </w:r>
      <w:r>
        <w:rPr>
          <w:rFonts w:ascii="Arial" w:cs="Arial" w:eastAsia="Arial" w:hAnsi="Arial"/>
          <w:sz w:val="17"/>
          <w:szCs w:val="17"/>
          <w:b w:val="1"/>
          <w:bCs w:val="1"/>
          <w:i w:val="1"/>
          <w:iCs w:val="1"/>
          <w:color w:val="auto"/>
        </w:rPr>
        <w:t>group</w:t>
      </w:r>
      <w:r>
        <w:rPr>
          <w:rFonts w:ascii="Arial" w:cs="Arial" w:eastAsia="Arial" w:hAnsi="Arial"/>
          <w:sz w:val="17"/>
          <w:szCs w:val="17"/>
          <w:color w:val="auto"/>
        </w:rPr>
        <w:t>” (as defined under Section 13(d)(3) of the Exchange Act), shall be restricted from seeking Redemption Rights with respect to more than an aggregate of 15% of the Offering Shares without the prior consent of the Corporation.</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1304"/>
        <w:spacing w:after="0" w:line="270" w:lineRule="auto"/>
        <w:tabs>
          <w:tab w:leader="none" w:pos="2099"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the event that the Corporation has not consummated an initial Business Combination within 24 months from the closing of the Offering, the Corporation shall (i) cease all operations except for the purpose of winding up, (ii) as promptly as reasonably possible but not more than ten business days thereafter subject to lawfully available funds therefor, redeem 100% of the Offering Shares in consideration of a per-share price, payable in cash, equal to the quotient obtained by dividing (A) the aggregate amount then on deposit in the Trust Account, (which interest shall be net of taxes payable and up to $100,000 of interest to pay dissolution expenses), by (B) the total number of then outstanding Offering Shares, which redemption will completely extinguish rights of the Public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Corporation’s obligations under the DGCL to provide for claims of creditors and other requirements of applicable law.</w:t>
      </w:r>
    </w:p>
    <w:p>
      <w:pPr>
        <w:spacing w:after="0" w:line="180" w:lineRule="exact"/>
        <w:rPr>
          <w:rFonts w:ascii="Arial" w:cs="Arial" w:eastAsia="Arial" w:hAnsi="Arial"/>
          <w:sz w:val="17"/>
          <w:szCs w:val="17"/>
          <w:color w:val="auto"/>
        </w:rPr>
      </w:pPr>
    </w:p>
    <w:p>
      <w:pPr>
        <w:jc w:val="both"/>
        <w:ind w:firstLine="1304"/>
        <w:spacing w:after="0" w:line="259" w:lineRule="auto"/>
        <w:tabs>
          <w:tab w:leader="none" w:pos="2359"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Corporation offers to redeem the Offering Shares in conjunction with a stockholder vote on an initial Business Combination, the Corporation shall consummate the proposed initial Business Combination only if (i) such initial Business Combination is approved by the affirmative vote of the holders of a majority of the shares of the Common Stock that are voted at a stockholder meeting held to consider such initial Business Combination and (ii) the Redemption Limitation is not exceeded.</w:t>
      </w:r>
    </w:p>
    <w:p>
      <w:pPr>
        <w:spacing w:after="0" w:line="186" w:lineRule="exact"/>
        <w:rPr>
          <w:rFonts w:ascii="Arial" w:cs="Arial" w:eastAsia="Arial" w:hAnsi="Arial"/>
          <w:sz w:val="18"/>
          <w:szCs w:val="18"/>
          <w:color w:val="auto"/>
        </w:rPr>
      </w:pPr>
    </w:p>
    <w:p>
      <w:pPr>
        <w:ind w:firstLine="1304"/>
        <w:spacing w:after="0" w:line="277" w:lineRule="auto"/>
        <w:tabs>
          <w:tab w:leader="none" w:pos="2168"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If the Corporation conducts a tender offer pursuant to </w:t>
      </w:r>
      <w:r>
        <w:rPr>
          <w:rFonts w:ascii="Arial" w:cs="Arial" w:eastAsia="Arial" w:hAnsi="Arial"/>
          <w:sz w:val="18"/>
          <w:szCs w:val="18"/>
          <w:u w:val="single" w:color="auto"/>
          <w:color w:val="auto"/>
        </w:rPr>
        <w:t>Section 9.2(b)</w:t>
      </w:r>
      <w:r>
        <w:rPr>
          <w:rFonts w:ascii="Arial" w:cs="Arial" w:eastAsia="Arial" w:hAnsi="Arial"/>
          <w:sz w:val="18"/>
          <w:szCs w:val="18"/>
          <w:color w:val="auto"/>
        </w:rPr>
        <w:t>, the Corporation shall consummate the proposed initial Business Combination only if the Redemption Limitation is not exceeded.</w:t>
      </w:r>
    </w:p>
    <w:p>
      <w:pPr>
        <w:spacing w:after="0" w:line="170"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Distributions from the Trust Account.</w:t>
      </w:r>
    </w:p>
    <w:p>
      <w:pPr>
        <w:spacing w:after="0" w:line="225" w:lineRule="exact"/>
        <w:rPr>
          <w:sz w:val="20"/>
          <w:szCs w:val="20"/>
          <w:color w:val="auto"/>
        </w:rPr>
      </w:pPr>
    </w:p>
    <w:p>
      <w:pPr>
        <w:jc w:val="both"/>
        <w:ind w:firstLine="1304"/>
        <w:spacing w:after="0" w:line="263" w:lineRule="auto"/>
        <w:tabs>
          <w:tab w:leader="none" w:pos="2184"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 Public Stockholder shall be entitled to receive funds from the Trust Account only as provided in </w:t>
      </w:r>
      <w:r>
        <w:rPr>
          <w:rFonts w:ascii="Arial" w:cs="Arial" w:eastAsia="Arial" w:hAnsi="Arial"/>
          <w:sz w:val="18"/>
          <w:szCs w:val="18"/>
          <w:u w:val="single" w:color="auto"/>
          <w:color w:val="auto"/>
        </w:rPr>
        <w:t>Sections 9.2(a)</w:t>
      </w:r>
      <w:r>
        <w:rPr>
          <w:rFonts w:ascii="Arial" w:cs="Arial" w:eastAsia="Arial" w:hAnsi="Arial"/>
          <w:sz w:val="18"/>
          <w:szCs w:val="18"/>
          <w:color w:val="auto"/>
        </w:rPr>
        <w:t xml:space="preserve">, </w:t>
      </w:r>
      <w:r>
        <w:rPr>
          <w:rFonts w:ascii="Arial" w:cs="Arial" w:eastAsia="Arial" w:hAnsi="Arial"/>
          <w:sz w:val="18"/>
          <w:szCs w:val="18"/>
          <w:u w:val="single" w:color="auto"/>
          <w:color w:val="auto"/>
        </w:rPr>
        <w:t>9.2(b)</w:t>
      </w:r>
      <w:r>
        <w:rPr>
          <w:rFonts w:ascii="Arial" w:cs="Arial" w:eastAsia="Arial" w:hAnsi="Arial"/>
          <w:sz w:val="18"/>
          <w:szCs w:val="18"/>
          <w:color w:val="auto"/>
        </w:rPr>
        <w:t xml:space="preserve">, </w:t>
      </w:r>
      <w:r>
        <w:rPr>
          <w:rFonts w:ascii="Arial" w:cs="Arial" w:eastAsia="Arial" w:hAnsi="Arial"/>
          <w:sz w:val="18"/>
          <w:szCs w:val="18"/>
          <w:u w:val="single" w:color="auto"/>
          <w:color w:val="auto"/>
        </w:rPr>
        <w:t>9.2(d)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9.7</w:t>
      </w:r>
      <w:r>
        <w:rPr>
          <w:rFonts w:ascii="Arial" w:cs="Arial" w:eastAsia="Arial" w:hAnsi="Arial"/>
          <w:sz w:val="18"/>
          <w:szCs w:val="18"/>
          <w:color w:val="auto"/>
        </w:rPr>
        <w:t xml:space="preserve"> hereof. In no other circumstances shall a Public Stockholder have any right or interest of any kind in or to distributions from the Trust Account, and no stockholder other than a Public Stockholder shall have any interest in or to the Trust Account.</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21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Each Public Stockholder that does not exercise its Redemption Rights shall retain its interest in the Corporation and shall be deemed to have given its consent to the release of the remaining funds in the Trust Account to the Corporation, and following payment to any Public Stockholders exercising their Redemption Rights, the remaining funds in the Trust Account shall be released to the Corporation.</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206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exercise by a Public Stockholder of the Redemption Rights shall be conditioned on such Public Stockholder following the specific procedures for redemptions set forth by the Corporation in any applicable tender offer or proxy materials sent to the Public Stockholders relating to the proposed initial Business Combination. Payment of the amounts necessary to satisfy the Redemption Rights properly exercised shall be made as promptly as practical after the consummation of the initial Business Combination.</w:t>
      </w:r>
    </w:p>
    <w:p>
      <w:pPr>
        <w:spacing w:after="0" w:line="18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Share Issuances</w:t>
      </w:r>
      <w:r>
        <w:rPr>
          <w:rFonts w:ascii="Arial" w:cs="Arial" w:eastAsia="Arial" w:hAnsi="Arial"/>
          <w:sz w:val="18"/>
          <w:szCs w:val="18"/>
          <w:color w:val="auto"/>
        </w:rPr>
        <w:t xml:space="preserve">. Prior to the consummation of the Corporation’s initial Business Combination, the Corporation shall not issue any additional shares of capital stock of the Corporation that would entitle the holders thereof to receive funds from the Trust Account or vote as a class with the Class A Common Stock on any initial Business Combination, on any pre-Business Combination activity or on any amendment to this </w:t>
      </w:r>
      <w:r>
        <w:rPr>
          <w:rFonts w:ascii="Arial" w:cs="Arial" w:eastAsia="Arial" w:hAnsi="Arial"/>
          <w:sz w:val="18"/>
          <w:szCs w:val="18"/>
          <w:i w:val="1"/>
          <w:iCs w:val="1"/>
          <w:color w:val="auto"/>
        </w:rPr>
        <w:t>Article IX.</w:t>
      </w:r>
    </w:p>
    <w:p>
      <w:pPr>
        <w:spacing w:after="0" w:line="187"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9.5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In the event the Corporation enters into an initial Business Combination with a target business that is affiliated with the Sponsor, or the directors or officers of the Corporation, the Corporation, or a committee of the independent directors of the Corporation, shall obtain an opinion from an independent accounting firm or an independent investment banking firm that is a member of the Financial Industry Regulatory Authority that such Business Combination is fair to the Corporation from a financial point of view.</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2780" w:type="dxa"/>
            <w:vAlign w:val="bottom"/>
          </w:tcPr>
          <w:p>
            <w:pPr>
              <w:ind w:left="1300"/>
              <w:spacing w:after="0"/>
              <w:rPr>
                <w:sz w:val="20"/>
                <w:szCs w:val="20"/>
                <w:color w:val="auto"/>
              </w:rPr>
            </w:pPr>
            <w:r>
              <w:rPr>
                <w:rFonts w:ascii="Arial" w:cs="Arial" w:eastAsia="Arial" w:hAnsi="Arial"/>
                <w:sz w:val="18"/>
                <w:szCs w:val="18"/>
                <w:color w:val="auto"/>
              </w:rPr>
              <w:t>Section 9.6</w:t>
            </w:r>
          </w:p>
        </w:tc>
        <w:tc>
          <w:tcPr>
            <w:tcW w:w="200" w:type="dxa"/>
            <w:vAlign w:val="bottom"/>
          </w:tcPr>
          <w:p>
            <w:pPr>
              <w:spacing w:after="0"/>
              <w:rPr>
                <w:sz w:val="17"/>
                <w:szCs w:val="17"/>
                <w:color w:val="auto"/>
              </w:rPr>
            </w:pPr>
          </w:p>
        </w:tc>
        <w:tc>
          <w:tcPr>
            <w:tcW w:w="8260" w:type="dxa"/>
            <w:vAlign w:val="bottom"/>
            <w:gridSpan w:val="5"/>
          </w:tcPr>
          <w:p>
            <w:pPr>
              <w:jc w:val="right"/>
              <w:spacing w:after="0"/>
              <w:rPr>
                <w:sz w:val="20"/>
                <w:szCs w:val="20"/>
                <w:color w:val="auto"/>
              </w:rPr>
            </w:pPr>
            <w:r>
              <w:rPr>
                <w:rFonts w:ascii="Arial" w:cs="Arial" w:eastAsia="Arial" w:hAnsi="Arial"/>
                <w:sz w:val="18"/>
                <w:szCs w:val="18"/>
                <w:color w:val="auto"/>
                <w:w w:val="95"/>
              </w:rPr>
              <w:t>No Transactions with Other Blank Check Companies. The Corporation shall not enter into an initial Business</w:t>
            </w:r>
          </w:p>
        </w:tc>
      </w:tr>
      <w:tr>
        <w:trPr>
          <w:trHeight w:val="20"/>
        </w:trPr>
        <w:tc>
          <w:tcPr>
            <w:tcW w:w="2980" w:type="dxa"/>
            <w:vAlign w:val="bottom"/>
            <w:gridSpan w:val="2"/>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37"/>
        </w:trPr>
        <w:tc>
          <w:tcPr>
            <w:tcW w:w="11240" w:type="dxa"/>
            <w:vAlign w:val="bottom"/>
            <w:gridSpan w:val="7"/>
          </w:tcPr>
          <w:p>
            <w:pPr>
              <w:spacing w:after="0"/>
              <w:rPr>
                <w:sz w:val="20"/>
                <w:szCs w:val="20"/>
                <w:color w:val="auto"/>
              </w:rPr>
            </w:pPr>
            <w:r>
              <w:rPr>
                <w:rFonts w:ascii="Arial" w:cs="Arial" w:eastAsia="Arial" w:hAnsi="Arial"/>
                <w:sz w:val="18"/>
                <w:szCs w:val="18"/>
                <w:color w:val="auto"/>
              </w:rPr>
              <w:t>Combination with another blank check company or a similar company with nominal operations.</w:t>
            </w:r>
          </w:p>
        </w:tc>
      </w:tr>
      <w:tr>
        <w:trPr>
          <w:trHeight w:val="391"/>
        </w:trPr>
        <w:tc>
          <w:tcPr>
            <w:tcW w:w="2780" w:type="dxa"/>
            <w:vAlign w:val="bottom"/>
          </w:tcPr>
          <w:p>
            <w:pPr>
              <w:ind w:left="1300"/>
              <w:spacing w:after="0"/>
              <w:rPr>
                <w:sz w:val="20"/>
                <w:szCs w:val="20"/>
                <w:color w:val="auto"/>
              </w:rPr>
            </w:pPr>
            <w:r>
              <w:rPr>
                <w:rFonts w:ascii="Arial" w:cs="Arial" w:eastAsia="Arial" w:hAnsi="Arial"/>
                <w:sz w:val="18"/>
                <w:szCs w:val="18"/>
                <w:color w:val="auto"/>
              </w:rPr>
              <w:t>Section 9.7</w:t>
            </w:r>
          </w:p>
        </w:tc>
        <w:tc>
          <w:tcPr>
            <w:tcW w:w="8460" w:type="dxa"/>
            <w:vAlign w:val="bottom"/>
            <w:gridSpan w:val="6"/>
          </w:tcPr>
          <w:p>
            <w:pPr>
              <w:jc w:val="right"/>
              <w:spacing w:after="0"/>
              <w:rPr>
                <w:sz w:val="20"/>
                <w:szCs w:val="20"/>
                <w:color w:val="auto"/>
              </w:rPr>
            </w:pPr>
            <w:r>
              <w:rPr>
                <w:rFonts w:ascii="Arial" w:cs="Arial" w:eastAsia="Arial" w:hAnsi="Arial"/>
                <w:sz w:val="18"/>
                <w:szCs w:val="18"/>
                <w:color w:val="auto"/>
                <w:w w:val="92"/>
              </w:rPr>
              <w:t>Additional Redemption Rights. If, in accordance with Section 9.1(a), any amendment is made to this Amended and</w:t>
            </w:r>
          </w:p>
        </w:tc>
      </w:tr>
      <w:tr>
        <w:trPr>
          <w:trHeight w:val="20"/>
        </w:trPr>
        <w:tc>
          <w:tcPr>
            <w:tcW w:w="2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Restated Certificate (a) to modify the substance or timing of the Corporation’s obligation to redeem 100% of the Offering Shares if the Corporation has not consummated an initial Business Combination within 24 months from the date of the closing of the Offering or (b) with respect to any other material provisions of this Amended and Restated Certificate relating to stockholders’ rights or pre-initial Business Combination activity, the Public Stockholders shall be provided with the opportunity to redeem their Offering Shares upon the approval of any such amendment, at a per-share price, payable in cash, equal to the aggregate amount then on deposit in the Trust Account, including interest not previously released to the Corporation to pay its taxes, divided by the number of then outstanding Offering Shares; provided, however, that any such amendment will be voided, and this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will remain unchanged, if any stockholders who wish to redeem are unable to redeem due to the Redemption Limitation.</w:t>
      </w:r>
    </w:p>
    <w:p>
      <w:pPr>
        <w:spacing w:after="0" w:line="17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Minimum Value of Initial Business Combination</w:t>
      </w:r>
      <w:r>
        <w:rPr>
          <w:rFonts w:ascii="Arial" w:cs="Arial" w:eastAsia="Arial" w:hAnsi="Arial"/>
          <w:sz w:val="18"/>
          <w:szCs w:val="18"/>
          <w:color w:val="auto"/>
        </w:rPr>
        <w:t>. The Corporation’s initial Business Combination must be comprised of one or more Business Combinations having an aggregate fair market value of at least 80% of the value of the assets held in the Trust Account (excluding any deferred underwriting commissions and taxes payable on the interest earned on the Trust Account) at the time the Corporation signs a definitive agreement in connection with the initial Business Combination.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OPPORTUNITY</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the extent allowed by law, the doctrine of corporate opportunity, or any other analogous doctrine, shall not apply with respect to the Corporation or any of its officers or directors, or any of their respective affiliates, in circumstances where the application of any such doctrine would conflict with any fiduciary duties or contractual obligations they may have as of the date of this Amended and Restated Certificate or in the future,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AMENDED AND RESTATED CERTIFICATE OF INCORPORATION</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Corporation reserves the right at any time and from time to time to amend, alter, change or repeal any provision contained in this Amended and Restated Certificate (including any Preferred Stock Designation), and other provisions authorized by the laws of the State of Delaware at the time in force that may be added or inserted, in the manner now or hereafter prescribed by this Amended and Restated Certificate and the DGCL; and, except as set forth in </w:t>
      </w:r>
      <w:r>
        <w:rPr>
          <w:rFonts w:ascii="Arial" w:cs="Arial" w:eastAsia="Arial" w:hAnsi="Arial"/>
          <w:sz w:val="16"/>
          <w:szCs w:val="16"/>
          <w:i w:val="1"/>
          <w:iCs w:val="1"/>
          <w:color w:val="auto"/>
        </w:rPr>
        <w:t>Article VIII,</w:t>
      </w:r>
      <w:r>
        <w:rPr>
          <w:rFonts w:ascii="Arial" w:cs="Arial" w:eastAsia="Arial" w:hAnsi="Arial"/>
          <w:sz w:val="16"/>
          <w:szCs w:val="16"/>
          <w:color w:val="auto"/>
        </w:rPr>
        <w:t xml:space="preserve"> all rights, preferences and privileges of whatever nature herein conferred upon stockholders, directors or any other persons by and pursuant to this Amended and Restated Certificate in its present form or as hereafter amended are granted subject to the right reserved in this </w:t>
      </w:r>
      <w:r>
        <w:rPr>
          <w:rFonts w:ascii="Arial" w:cs="Arial" w:eastAsia="Arial" w:hAnsi="Arial"/>
          <w:sz w:val="16"/>
          <w:szCs w:val="16"/>
          <w:i w:val="1"/>
          <w:iCs w:val="1"/>
          <w:color w:val="auto"/>
        </w:rPr>
        <w:t>Article XI;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t>
      </w:r>
      <w:r>
        <w:rPr>
          <w:rFonts w:ascii="Arial" w:cs="Arial" w:eastAsia="Arial" w:hAnsi="Arial"/>
          <w:sz w:val="16"/>
          <w:szCs w:val="16"/>
          <w:i w:val="1"/>
          <w:iCs w:val="1"/>
          <w:color w:val="auto"/>
        </w:rPr>
        <w:t>Article IX</w:t>
      </w:r>
      <w:r>
        <w:rPr>
          <w:rFonts w:ascii="Arial" w:cs="Arial" w:eastAsia="Arial" w:hAnsi="Arial"/>
          <w:sz w:val="16"/>
          <w:szCs w:val="16"/>
          <w:color w:val="auto"/>
        </w:rPr>
        <w:t xml:space="preserve"> of this Amended and Restated Certificate may be amended only as provided therein.</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FORUM FOR CERTAIN LAWSUITS</w:t>
      </w:r>
    </w:p>
    <w:p>
      <w:pPr>
        <w:spacing w:after="0" w:line="211"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Forum</w:t>
      </w:r>
      <w:r>
        <w:rPr>
          <w:rFonts w:ascii="Arial" w:cs="Arial" w:eastAsia="Arial" w:hAnsi="Arial"/>
          <w:sz w:val="16"/>
          <w:szCs w:val="16"/>
          <w:color w:val="auto"/>
        </w:rPr>
        <w:t>. Unless the Corporation consents in writing to the selection of an alternative forum, the Court of Chancery of the State of Delaware (the “</w:t>
      </w:r>
      <w:r>
        <w:rPr>
          <w:rFonts w:ascii="Arial" w:cs="Arial" w:eastAsia="Arial" w:hAnsi="Arial"/>
          <w:sz w:val="16"/>
          <w:szCs w:val="16"/>
          <w:b w:val="1"/>
          <w:bCs w:val="1"/>
          <w:i w:val="1"/>
          <w:iCs w:val="1"/>
          <w:color w:val="auto"/>
        </w:rPr>
        <w:t>Court of Chancery</w:t>
      </w:r>
      <w:r>
        <w:rPr>
          <w:rFonts w:ascii="Arial" w:cs="Arial" w:eastAsia="Arial" w:hAnsi="Arial"/>
          <w:sz w:val="16"/>
          <w:szCs w:val="16"/>
          <w:color w:val="auto"/>
        </w:rPr>
        <w:t>”)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Amended and Restated Certificate or the By 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for, as to each of</w:t>
      </w:r>
    </w:p>
    <w:p>
      <w:pPr>
        <w:spacing w:after="0" w:line="2" w:lineRule="exact"/>
        <w:rPr>
          <w:sz w:val="20"/>
          <w:szCs w:val="20"/>
          <w:color w:val="auto"/>
        </w:rPr>
      </w:pPr>
    </w:p>
    <w:p>
      <w:pPr>
        <w:jc w:val="both"/>
        <w:ind w:firstLine="8"/>
        <w:spacing w:after="0" w:line="268" w:lineRule="auto"/>
        <w:tabs>
          <w:tab w:leader="none" w:pos="218"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through (iv)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the provisions of this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will not apply to suits brought to enforce a duty or liability created by the Exchange Act or any other claim for which the federal courts have exclusive jurisdiction. Additionally, unless the Corporation consents in writing to the selection of an alternative forum, the federal courts shall be the exclusive forum for the resolution of any complaint asserting a cause of action arising under the Securities Act of 1933, as amended, against the Corporation or any of its directors, officers, other employees or agents. Any person or entity purchasing or otherwise acquiring any interest in any security of the Corporation shall be deemed to have notice of and consented to the provisions of this </w:t>
      </w:r>
      <w:r>
        <w:rPr>
          <w:rFonts w:ascii="Arial" w:cs="Arial" w:eastAsia="Arial" w:hAnsi="Arial"/>
          <w:sz w:val="17"/>
          <w:szCs w:val="17"/>
          <w:u w:val="single" w:color="auto"/>
          <w:color w:val="auto"/>
        </w:rPr>
        <w:t>Section 12.1</w:t>
      </w:r>
      <w:r>
        <w:rPr>
          <w:rFonts w:ascii="Arial" w:cs="Arial" w:eastAsia="Arial" w:hAnsi="Arial"/>
          <w:sz w:val="17"/>
          <w:szCs w:val="17"/>
          <w:color w:val="auto"/>
        </w:rPr>
        <w:t>.</w:t>
      </w:r>
    </w:p>
    <w:p>
      <w:pPr>
        <w:spacing w:after="0" w:line="181"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Section 12.2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xml:space="preserve">. If any action the subject matter of which is within the scope of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immediately above is filed in a court other than a court located within the State of Delaware (a “</w:t>
      </w:r>
      <w:r>
        <w:rPr>
          <w:rFonts w:ascii="Arial" w:cs="Arial" w:eastAsia="Arial" w:hAnsi="Arial"/>
          <w:sz w:val="16"/>
          <w:szCs w:val="16"/>
          <w:b w:val="1"/>
          <w:bCs w:val="1"/>
          <w:i w:val="1"/>
          <w:iCs w:val="1"/>
          <w:color w:val="auto"/>
        </w:rPr>
        <w:t>Foreign Action</w:t>
      </w:r>
      <w:r>
        <w:rPr>
          <w:rFonts w:ascii="Arial" w:cs="Arial" w:eastAsia="Arial" w:hAnsi="Arial"/>
          <w:sz w:val="16"/>
          <w:szCs w:val="16"/>
          <w:color w:val="auto"/>
        </w:rPr>
        <w:t xml:space="preserve">”) in the name of any stockholder, such stockholder shall be deemed to have consented to (i) the personal jurisdiction of the state and federal courts located within the State of Delaware in connection with any action brought in any such court to enforce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immediately above (an “</w:t>
      </w:r>
      <w:r>
        <w:rPr>
          <w:rFonts w:ascii="Arial" w:cs="Arial" w:eastAsia="Arial" w:hAnsi="Arial"/>
          <w:sz w:val="16"/>
          <w:szCs w:val="16"/>
          <w:b w:val="1"/>
          <w:bCs w:val="1"/>
          <w:i w:val="1"/>
          <w:iCs w:val="1"/>
          <w:color w:val="auto"/>
        </w:rPr>
        <w:t>FSC Enforcement Action</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and (ii) having service of process made upon such stockholder in any such FSC Enforcement Action by service upon such stockholder’s counsel in the Foreign Action as agent for such stockholder.</w:t>
      </w:r>
    </w:p>
    <w:p>
      <w:pPr>
        <w:spacing w:after="0" w:line="16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or provisions of this </w:t>
      </w:r>
      <w:r>
        <w:rPr>
          <w:rFonts w:ascii="Arial" w:cs="Arial" w:eastAsia="Arial" w:hAnsi="Arial"/>
          <w:sz w:val="18"/>
          <w:szCs w:val="18"/>
          <w:i w:val="1"/>
          <w:iCs w:val="1"/>
          <w:color w:val="auto"/>
        </w:rPr>
        <w:t>Article XII</w:t>
      </w:r>
      <w:r>
        <w:rPr>
          <w:rFonts w:ascii="Arial" w:cs="Arial" w:eastAsia="Arial" w:hAnsi="Arial"/>
          <w:sz w:val="18"/>
          <w:szCs w:val="18"/>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Arial" w:cs="Arial" w:eastAsia="Arial" w:hAnsi="Arial"/>
          <w:sz w:val="18"/>
          <w:szCs w:val="18"/>
          <w:i w:val="1"/>
          <w:iCs w:val="1"/>
          <w:color w:val="auto"/>
        </w:rPr>
        <w:t>Article XII</w:t>
      </w:r>
      <w:r>
        <w:rPr>
          <w:rFonts w:ascii="Arial" w:cs="Arial" w:eastAsia="Arial" w:hAnsi="Arial"/>
          <w:sz w:val="18"/>
          <w:szCs w:val="18"/>
          <w:color w:val="auto"/>
        </w:rPr>
        <w:t xml:space="preserve"> (including, without limitation, each portion of any sentence of this </w:t>
      </w:r>
      <w:r>
        <w:rPr>
          <w:rFonts w:ascii="Arial" w:cs="Arial" w:eastAsia="Arial" w:hAnsi="Arial"/>
          <w:sz w:val="18"/>
          <w:szCs w:val="18"/>
          <w:i w:val="1"/>
          <w:iCs w:val="1"/>
          <w:color w:val="auto"/>
        </w:rPr>
        <w:t>Article XII</w:t>
      </w:r>
      <w:r>
        <w:rPr>
          <w:rFonts w:ascii="Arial" w:cs="Arial" w:eastAsia="Arial" w:hAnsi="Arial"/>
          <w:sz w:val="18"/>
          <w:szCs w:val="18"/>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w:t>
      </w:r>
      <w:r>
        <w:rPr>
          <w:rFonts w:ascii="Arial" w:cs="Arial" w:eastAsia="Arial" w:hAnsi="Arial"/>
          <w:sz w:val="18"/>
          <w:szCs w:val="18"/>
          <w:i w:val="1"/>
          <w:iCs w:val="1"/>
          <w:color w:val="auto"/>
        </w:rPr>
        <w:t>Article XII</w:t>
      </w:r>
      <w:r>
        <w:rPr>
          <w:rFonts w:ascii="Arial" w:cs="Arial" w:eastAsia="Arial" w:hAnsi="Arial"/>
          <w:sz w:val="18"/>
          <w:szCs w:val="18"/>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firstLine="648"/>
        <w:spacing w:after="0" w:line="277" w:lineRule="auto"/>
        <w:rPr>
          <w:sz w:val="20"/>
          <w:szCs w:val="20"/>
          <w:color w:val="auto"/>
        </w:rPr>
      </w:pPr>
      <w:r>
        <w:rPr>
          <w:rFonts w:ascii="Arial" w:cs="Arial" w:eastAsia="Arial" w:hAnsi="Arial"/>
          <w:sz w:val="18"/>
          <w:szCs w:val="18"/>
          <w:color w:val="auto"/>
        </w:rPr>
        <w:t>IN WITNESS WHEREOF, AMCI Acquisition Corp. II has caused this Amended and Restated Certificate to be duly executed and acknowledged in its name and on its behalf by an authorized officer as of the date first set forth above.</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AMCI ACQUISITION CORP. II</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Nimesh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Nimesh Patel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4.1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AMCI ACQUISITION CORP.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August 3, 2021</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WARRANT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August 3, 2021, is by and between AMCI Acquisition Corp. II,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a New York limited purpose trust company, as warrant agent (in such capacity,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WHEREAS, it is proposed that the Company enter into that certain Private Placement Warrants Purchase Agreement, with AMCI Sponsor II LLC, a Delaware limited liability company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xml:space="preserve">”), pursuant to which the Sponsor will purchase an aggregate of 3,500,000 warrants (or up to 3,725,000 warrants if the underwriters in the Public Offering (defined below) exercise their Over-allotment Option (as defined below) in full) simultaneously with the closing of the Offering (and the closing of the Over-allotment Option, if applicable), bearing the legend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(the “</w:t>
      </w:r>
      <w:r>
        <w:rPr>
          <w:rFonts w:ascii="Arial" w:cs="Arial" w:eastAsia="Arial" w:hAnsi="Arial"/>
          <w:sz w:val="16"/>
          <w:szCs w:val="16"/>
          <w:b w:val="1"/>
          <w:bCs w:val="1"/>
          <w:i w:val="1"/>
          <w:iCs w:val="1"/>
          <w:color w:val="auto"/>
        </w:rPr>
        <w:t>Private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Placement Warrants</w:t>
      </w:r>
      <w:r>
        <w:rPr>
          <w:rFonts w:ascii="Arial" w:cs="Arial" w:eastAsia="Arial" w:hAnsi="Arial"/>
          <w:sz w:val="16"/>
          <w:szCs w:val="16"/>
          <w:color w:val="auto"/>
        </w:rPr>
        <w:t>”) at a purchase price of $1.00 per Private Placement Warrant. Each Private Placement Warrant entitles the holder thereof to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one share of Class A Common Stock (as defined below) at a price of $11.50 per share, subject to adjustment as described herein;</w:t>
      </w:r>
    </w:p>
    <w:p>
      <w:pPr>
        <w:spacing w:after="0" w:line="16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WHEREAS, in order to finance the Company’s transaction costs in connection with an intended initial merger, share exchange, asset acquisition, share purchase, reorganization or similar business combination, involving the Company and one or more businesses (a “</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any one or more of the Sponsor or an affiliate of the Sponsor or certain of the Company’s officers and directors may, but are not obligated to, lend to the Company funds as the Company may require, of which up to $1,500,000 of such loans may be convertible into up to an additional 1,500,000 Private Placement Warrants at a price of $1.00 per Private Placement Warrant (the “</w:t>
      </w:r>
      <w:r>
        <w:rPr>
          <w:rFonts w:ascii="Arial" w:cs="Arial" w:eastAsia="Arial" w:hAnsi="Arial"/>
          <w:sz w:val="17"/>
          <w:szCs w:val="17"/>
          <w:b w:val="1"/>
          <w:bCs w:val="1"/>
          <w:i w:val="1"/>
          <w:iCs w:val="1"/>
          <w:color w:val="auto"/>
        </w:rPr>
        <w:t>Working Capital Warrants</w:t>
      </w:r>
      <w:r>
        <w:rPr>
          <w:rFonts w:ascii="Arial" w:cs="Arial" w:eastAsia="Arial" w:hAnsi="Arial"/>
          <w:sz w:val="17"/>
          <w:szCs w:val="17"/>
          <w:color w:val="auto"/>
        </w:rPr>
        <w:t>”);</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WHEREAS, the Company is engaged in an initial public offering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of units of the Company’s equity securities, each such unit comprised of one share of Class A common stock of the Company, par value $0.0001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one-half of one Public Warrant (as defined below)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and, in connection therewith, has determined to issue and deliver up to 8,625,000 redeemable warrants (including up to 1,125,000 redeemable warrants subject to the Over-allotment Option) to public investors in the Offering (the “</w:t>
      </w:r>
      <w:r>
        <w:rPr>
          <w:rFonts w:ascii="Arial" w:cs="Arial" w:eastAsia="Arial" w:hAnsi="Arial"/>
          <w:sz w:val="17"/>
          <w:szCs w:val="17"/>
          <w:b w:val="1"/>
          <w:bCs w:val="1"/>
          <w:i w:val="1"/>
          <w:iCs w:val="1"/>
          <w:color w:val="auto"/>
        </w:rPr>
        <w:t>Public Warrants</w:t>
      </w:r>
      <w:r>
        <w:rPr>
          <w:rFonts w:ascii="Arial" w:cs="Arial" w:eastAsia="Arial" w:hAnsi="Arial"/>
          <w:sz w:val="17"/>
          <w:szCs w:val="17"/>
          <w:color w:val="auto"/>
        </w:rPr>
        <w:t>”). Each whole Warrant entitles the holder thereof to purchase one share of Common Stock for $11.50 per share, subject to adjustment as described herein. Only whole Warrants are exercisable. A holder of the Public Warrants will not be able to exercise any fraction of a Warrant;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following the consummation of the Offering, the Company may issue additional warrants (the “</w:t>
      </w:r>
      <w:r>
        <w:rPr>
          <w:rFonts w:ascii="Arial" w:cs="Arial" w:eastAsia="Arial" w:hAnsi="Arial"/>
          <w:sz w:val="18"/>
          <w:szCs w:val="18"/>
          <w:b w:val="1"/>
          <w:bCs w:val="1"/>
          <w:i w:val="1"/>
          <w:iCs w:val="1"/>
          <w:color w:val="auto"/>
        </w:rPr>
        <w:t>Post-IPO Warrants</w:t>
      </w:r>
      <w:r>
        <w:rPr>
          <w:rFonts w:ascii="Arial" w:cs="Arial" w:eastAsia="Arial" w:hAnsi="Arial"/>
          <w:sz w:val="18"/>
          <w:szCs w:val="18"/>
          <w:color w:val="auto"/>
        </w:rPr>
        <w:t>” and, together with the Public Warrants, the Private Placement Warrants and the Working Capital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in connection with, or following the consummation by the Company of, a Business Combination;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a registration statement on Form S-1, File No. 333-253107 and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the Units, the Public Warrants and the Common Stock included in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jc w:val="both"/>
        <w:ind w:firstLine="648"/>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all acts and things have been done and performed that are necessary to make the Warrants, when executed on behalf of the Company and countersigned by or on behalf of the Warrant Agent (if a physical certificate is issued), as provided herein, the valid, binding and legal obligations of the Company, and to authorize the execution and delivery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jc w:val="both"/>
        <w:ind w:firstLine="656"/>
        <w:spacing w:after="0" w:line="263" w:lineRule="auto"/>
        <w:tabs>
          <w:tab w:leader="none" w:pos="135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Appointment of Warrant Agent</w:t>
      </w:r>
      <w:r>
        <w:rPr>
          <w:rFonts w:ascii="Arial" w:cs="Arial" w:eastAsia="Arial" w:hAnsi="Arial"/>
          <w:sz w:val="18"/>
          <w:szCs w:val="18"/>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83" w:lineRule="exact"/>
        <w:rPr>
          <w:rFonts w:ascii="Arial" w:cs="Arial" w:eastAsia="Arial" w:hAnsi="Arial"/>
          <w:sz w:val="18"/>
          <w:szCs w:val="18"/>
          <w:color w:val="auto"/>
        </w:rPr>
      </w:pPr>
    </w:p>
    <w:p>
      <w:pPr>
        <w:ind w:left="1340" w:hanging="684"/>
        <w:spacing w:after="0"/>
        <w:tabs>
          <w:tab w:leader="none" w:pos="13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Form of Warrant</w:t>
      </w:r>
      <w:r>
        <w:rPr>
          <w:rFonts w:ascii="Arial" w:cs="Arial" w:eastAsia="Arial" w:hAnsi="Arial"/>
          <w:sz w:val="16"/>
          <w:szCs w:val="16"/>
          <w:color w:val="auto"/>
        </w:rPr>
        <w:t>. Each Warrant shall initially be issued in registered form only.</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If a physical certificate is issued, unless and until countersigned by the Warrant Agent pursuant to this Agreement, a certificated Warrant shall be invalid and of no effect and may not be exercised by the holder thereof.</w:t>
      </w:r>
    </w:p>
    <w:p>
      <w:pPr>
        <w:spacing w:after="0" w:line="170"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Registration</w:t>
      </w:r>
      <w:r>
        <w:rPr>
          <w:rFonts w:ascii="Arial" w:cs="Arial" w:eastAsia="Arial" w:hAnsi="Arial"/>
          <w:sz w:val="16"/>
          <w:szCs w:val="16"/>
          <w:color w:val="auto"/>
        </w:rPr>
        <w:t>.</w:t>
      </w:r>
    </w:p>
    <w:p>
      <w:pPr>
        <w:spacing w:after="0" w:line="225" w:lineRule="exact"/>
        <w:rPr>
          <w:sz w:val="20"/>
          <w:szCs w:val="20"/>
          <w:color w:val="auto"/>
        </w:rPr>
      </w:pPr>
    </w:p>
    <w:p>
      <w:pPr>
        <w:jc w:val="both"/>
        <w:ind w:firstLine="1944"/>
        <w:spacing w:after="0" w:line="255"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Warrant Register</w:t>
      </w:r>
      <w:r>
        <w:rPr>
          <w:rFonts w:ascii="Arial" w:cs="Arial" w:eastAsia="Arial" w:hAnsi="Arial"/>
          <w:sz w:val="18"/>
          <w:szCs w:val="18"/>
          <w:color w:val="auto"/>
        </w:rPr>
        <w:t>. The Warrant Agent shall maintain books (the “</w:t>
      </w:r>
      <w:r>
        <w:rPr>
          <w:rFonts w:ascii="Arial" w:cs="Arial" w:eastAsia="Arial" w:hAnsi="Arial"/>
          <w:sz w:val="18"/>
          <w:szCs w:val="18"/>
          <w:b w:val="1"/>
          <w:bCs w:val="1"/>
          <w:i w:val="1"/>
          <w:iCs w:val="1"/>
          <w:color w:val="auto"/>
        </w:rPr>
        <w:t>Warrant Register</w:t>
      </w:r>
      <w:r>
        <w:rPr>
          <w:rFonts w:ascii="Arial" w:cs="Arial" w:eastAsia="Arial" w:hAnsi="Arial"/>
          <w:sz w:val="18"/>
          <w:szCs w:val="18"/>
          <w:color w:val="auto"/>
        </w:rPr>
        <w:t>”), for the registration of original issuance and the registration of transfer of the Warrants. Upon the initial issuance of the Warrants in book-entry form, the Warrant Agent shall issue and register the Warrants in the names of the respective holders thereof in such denominations and otherwise in accordance with instructions delivered to the Warrant Agent by the Company. Ownership of beneficial interests in the Public Warrants shall be shown on, and the transfer of such ownership shall be effected through, records maintained by institutions that have accounts with The Depository Trust Company (the “</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(such institution, with respect to a Warrant in its account,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the Depositary subsequently ceases to make its book-entry settlement system available for the Public Warrants, the Company may instruct the Warrant Agent regarding making other arrangements for book-entry settlement. In the event that the Public Warrants are not eligible for, or it is no longer necessary to have the Public Warrants available in, book-entry form, the Warrant Agent shall provide written instructions to the Depositary to deliver to the Warrant Agent for cancellation each book-entry Public Warrant, and the Company shall instruct the Warrant Agent to deliver to the Depositary definitive certificates in physical form evidencing such Warrants (“</w:t>
      </w:r>
      <w:r>
        <w:rPr>
          <w:rFonts w:ascii="Arial" w:cs="Arial" w:eastAsia="Arial" w:hAnsi="Arial"/>
          <w:sz w:val="16"/>
          <w:szCs w:val="16"/>
          <w:b w:val="1"/>
          <w:bCs w:val="1"/>
          <w:i w:val="1"/>
          <w:iCs w:val="1"/>
          <w:color w:val="auto"/>
        </w:rPr>
        <w:t>Definitive Warrant Certificates</w:t>
      </w:r>
      <w:r>
        <w:rPr>
          <w:rFonts w:ascii="Arial" w:cs="Arial" w:eastAsia="Arial" w:hAnsi="Arial"/>
          <w:sz w:val="16"/>
          <w:szCs w:val="16"/>
          <w:color w:val="auto"/>
        </w:rPr>
        <w:t xml:space="preserve">”) which shall be in the form annexed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Physical certificates, if issued, shall be signed by, or bear the facsimile signature of, the Chairman of the Board, Chief Executive Officer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firstLine="1944"/>
        <w:spacing w:after="0" w:line="259"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is registered in the Warrant Register (the “</w:t>
      </w:r>
      <w:r>
        <w:rPr>
          <w:rFonts w:ascii="Arial" w:cs="Arial" w:eastAsia="Arial" w:hAnsi="Arial"/>
          <w:sz w:val="18"/>
          <w:szCs w:val="18"/>
          <w:b w:val="1"/>
          <w:bCs w:val="1"/>
          <w:i w:val="1"/>
          <w:iCs w:val="1"/>
          <w:color w:val="auto"/>
        </w:rPr>
        <w:t>Registered Holder</w:t>
      </w:r>
      <w:r>
        <w:rPr>
          <w:rFonts w:ascii="Arial" w:cs="Arial" w:eastAsia="Arial" w:hAnsi="Arial"/>
          <w:sz w:val="18"/>
          <w:szCs w:val="18"/>
          <w:color w:val="auto"/>
        </w:rPr>
        <w:t>”) as the absolute owner of such Warrant and of each Warrant represented thereby, for the purpose of any exercise thereof, and for all other purposes, and neither the Company nor the Warrant Agent shall be affected by any notice to the contrary.</w:t>
      </w:r>
    </w:p>
    <w:p>
      <w:pPr>
        <w:spacing w:after="0" w:line="18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Detachability of Warrants</w:t>
      </w:r>
      <w:r>
        <w:rPr>
          <w:rFonts w:ascii="Arial" w:cs="Arial" w:eastAsia="Arial" w:hAnsi="Arial"/>
          <w:sz w:val="18"/>
          <w:szCs w:val="18"/>
          <w:color w:val="auto"/>
        </w:rPr>
        <w:t>. The Common Stock and Public Warrants comprising the Units shall begin separate trading on the 52nd day following the date of the Prospectus or, if such 52nd day is not on a day, other than a Saturday, Sunday or federal holiday, on which banks in New York City are generally open for normal business (a “</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then on the immediately succeeding Business Day following such date, or earlier (the “</w:t>
      </w:r>
      <w:r>
        <w:rPr>
          <w:rFonts w:ascii="Arial" w:cs="Arial" w:eastAsia="Arial" w:hAnsi="Arial"/>
          <w:sz w:val="18"/>
          <w:szCs w:val="18"/>
          <w:b w:val="1"/>
          <w:bCs w:val="1"/>
          <w:i w:val="1"/>
          <w:iCs w:val="1"/>
          <w:color w:val="auto"/>
        </w:rPr>
        <w:t>Detachment Date</w:t>
      </w:r>
      <w:r>
        <w:rPr>
          <w:rFonts w:ascii="Arial" w:cs="Arial" w:eastAsia="Arial" w:hAnsi="Arial"/>
          <w:sz w:val="18"/>
          <w:szCs w:val="18"/>
          <w:color w:val="auto"/>
        </w:rPr>
        <w:t>”) with the consent of Evercore Group L.L.C., as representative of the several underwriters, but in no event shall the Common Stock and the Public Warrants comprising the Units be separately traded until (A) the Company has filed a Current Report on Form 8-K with the Commission containing an audited balance sheet reflecting the receipt by the Company of the gross proceeds of the Offering, including the proceeds then received by the Company from the exercise by the underwriters of their right to purchase additional Units in the Offering (the “</w:t>
      </w:r>
      <w:r>
        <w:rPr>
          <w:rFonts w:ascii="Arial" w:cs="Arial" w:eastAsia="Arial" w:hAnsi="Arial"/>
          <w:sz w:val="18"/>
          <w:szCs w:val="18"/>
          <w:b w:val="1"/>
          <w:bCs w:val="1"/>
          <w:i w:val="1"/>
          <w:iCs w:val="1"/>
          <w:color w:val="auto"/>
        </w:rPr>
        <w:t>Over-allotment Option</w:t>
      </w:r>
      <w:r>
        <w:rPr>
          <w:rFonts w:ascii="Arial" w:cs="Arial" w:eastAsia="Arial" w:hAnsi="Arial"/>
          <w:sz w:val="18"/>
          <w:szCs w:val="18"/>
          <w:color w:val="auto"/>
        </w:rPr>
        <w:t>”), if the Over-allotment Option is exercised prior to the filing of the Current Report on Form 8-K, and (B) the Company issues a press release announcing when such separate trading shall begin.</w:t>
      </w:r>
    </w:p>
    <w:p>
      <w:pPr>
        <w:spacing w:after="0" w:line="19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Company shall not issue fractional Warrants other than as part of the Units, each of which is comprised of one share of Common Stock and one-half of one whole Public Warrant. If, upon the detachment of Public Warrants from the Units or otherwise, a holder of Warrants would be entitled to receive a fractional Warrant, the Company shall round down to the nearest whole number the number of Warrants to be issued to such holder.</w:t>
      </w:r>
    </w:p>
    <w:p>
      <w:pPr>
        <w:spacing w:after="0" w:line="18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xml:space="preserve">. The Private Placement Warrants shall be identical to the Public Warrants, except that so long as they are held by the Sponsor, the Company’s officers and directors or any of their Permitted Transferees (as defined below), as applicable, the Private Placement Warrants: (i) may be exercised for cash or on a “cashless basis,” pursuant to </w:t>
      </w:r>
      <w:r>
        <w:rPr>
          <w:rFonts w:ascii="Arial" w:cs="Arial" w:eastAsia="Arial" w:hAnsi="Arial"/>
          <w:sz w:val="16"/>
          <w:szCs w:val="16"/>
          <w:u w:val="single" w:color="auto"/>
          <w:color w:val="auto"/>
        </w:rPr>
        <w:t>subsection 3.3.1(c)</w:t>
      </w:r>
      <w:r>
        <w:rPr>
          <w:rFonts w:ascii="Arial" w:cs="Arial" w:eastAsia="Arial" w:hAnsi="Arial"/>
          <w:sz w:val="16"/>
          <w:szCs w:val="16"/>
          <w:color w:val="auto"/>
        </w:rPr>
        <w:t xml:space="preserve"> hereof, (ii) including the Common Stock issuable upon exercise of the Private Placement Warrants, may not be transferred, assigned or sold until thirty (30) days after the completion by the Company of an initial Business Combination, and (iii) shall not be redeemable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(ii), the Private Placement Warrants and any Common Stock issued upon exercise of the Private Placement Warrants may be transferred by the holders thereof:</w:t>
      </w:r>
    </w:p>
    <w:p>
      <w:pPr>
        <w:spacing w:after="0" w:line="164" w:lineRule="exact"/>
        <w:rPr>
          <w:sz w:val="20"/>
          <w:szCs w:val="20"/>
          <w:color w:val="auto"/>
        </w:rPr>
      </w:pPr>
    </w:p>
    <w:p>
      <w:pPr>
        <w:ind w:firstLine="1952"/>
        <w:spacing w:after="0" w:line="277" w:lineRule="auto"/>
        <w:tabs>
          <w:tab w:leader="none" w:pos="269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the Company’s officers or directors, any affiliates or family members of any of the Company’s officers or directors, any affiliate of the Sponsor or to any member of the Sponsor or any of their affiliates;</w:t>
      </w:r>
    </w:p>
    <w:p>
      <w:pPr>
        <w:spacing w:after="0" w:line="170" w:lineRule="exact"/>
        <w:rPr>
          <w:rFonts w:ascii="Arial" w:cs="Arial" w:eastAsia="Arial" w:hAnsi="Arial"/>
          <w:sz w:val="18"/>
          <w:szCs w:val="18"/>
          <w:color w:val="auto"/>
        </w:rPr>
      </w:pPr>
    </w:p>
    <w:p>
      <w:pPr>
        <w:ind w:firstLine="1952"/>
        <w:spacing w:after="0" w:line="277" w:lineRule="auto"/>
        <w:tabs>
          <w:tab w:leader="none" w:pos="2707"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an individual, by gift to a member of such individual’s immediate family or to a trust, the beneficiary of which is a member of such individual’s immediate family, an affiliate of such person or to a charitable organization;</w:t>
      </w:r>
    </w:p>
    <w:p>
      <w:pPr>
        <w:spacing w:after="0" w:line="170" w:lineRule="exact"/>
        <w:rPr>
          <w:rFonts w:ascii="Arial" w:cs="Arial" w:eastAsia="Arial" w:hAnsi="Arial"/>
          <w:sz w:val="18"/>
          <w:szCs w:val="18"/>
          <w:color w:val="auto"/>
        </w:rPr>
      </w:pPr>
    </w:p>
    <w:p>
      <w:pPr>
        <w:ind w:left="2700" w:hanging="748"/>
        <w:spacing w:after="0"/>
        <w:tabs>
          <w:tab w:leader="none" w:pos="2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an individual, by virtue of laws of descent and distribution upon death of such person;</w:t>
      </w:r>
    </w:p>
    <w:p>
      <w:pPr>
        <w:spacing w:after="0" w:line="225" w:lineRule="exact"/>
        <w:rPr>
          <w:rFonts w:ascii="Arial" w:cs="Arial" w:eastAsia="Arial" w:hAnsi="Arial"/>
          <w:sz w:val="18"/>
          <w:szCs w:val="18"/>
          <w:color w:val="auto"/>
        </w:rPr>
      </w:pPr>
    </w:p>
    <w:p>
      <w:pPr>
        <w:ind w:left="2700" w:hanging="748"/>
        <w:spacing w:after="0"/>
        <w:tabs>
          <w:tab w:leader="none" w:pos="2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an individual, pursuant to a qualified domestic relations order;</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791" w:val="left"/>
        </w:tabs>
        <w:numPr>
          <w:ilvl w:val="0"/>
          <w:numId w:val="57"/>
        </w:numPr>
        <w:rPr>
          <w:rFonts w:ascii="Arial" w:cs="Arial" w:eastAsia="Arial" w:hAnsi="Arial"/>
          <w:sz w:val="18"/>
          <w:szCs w:val="18"/>
          <w:color w:val="auto"/>
        </w:rPr>
      </w:pPr>
      <w:r>
        <w:rPr>
          <w:rFonts w:ascii="Arial" w:cs="Arial" w:eastAsia="Arial" w:hAnsi="Arial"/>
          <w:sz w:val="18"/>
          <w:szCs w:val="18"/>
          <w:color w:val="auto"/>
        </w:rPr>
        <w:t>by private sales or transfers made in connection with any forward purchase agreement or similar arrangement or in connection with the consummation of the Company’s Business Combination at prices no greater than the price at which the Private Placement Warrants or Common Stock, as applicable, were originally purchased;</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ind w:left="3060" w:hanging="1042"/>
        <w:spacing w:after="0"/>
        <w:tabs>
          <w:tab w:leader="none" w:pos="3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by virtue of the laws of the State of Delaware or the Sponsor’s organizational documents upon liquidation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dissolution of the Sponsor;</w:t>
      </w:r>
    </w:p>
    <w:p>
      <w:pPr>
        <w:spacing w:after="0" w:line="211" w:lineRule="exact"/>
        <w:rPr>
          <w:sz w:val="20"/>
          <w:szCs w:val="20"/>
          <w:color w:val="auto"/>
        </w:rPr>
      </w:pPr>
    </w:p>
    <w:p>
      <w:pPr>
        <w:ind w:left="2740" w:hanging="743"/>
        <w:spacing w:after="0"/>
        <w:tabs>
          <w:tab w:leader="none" w:pos="2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event of the Company’s liquidation prior to the completion of its initial Business Combination; or</w:t>
      </w:r>
    </w:p>
    <w:p>
      <w:pPr>
        <w:spacing w:after="0" w:line="225" w:lineRule="exact"/>
        <w:rPr>
          <w:rFonts w:ascii="Arial" w:cs="Arial" w:eastAsia="Arial" w:hAnsi="Arial"/>
          <w:sz w:val="18"/>
          <w:szCs w:val="18"/>
          <w:color w:val="auto"/>
        </w:rPr>
      </w:pPr>
    </w:p>
    <w:p>
      <w:pPr>
        <w:jc w:val="both"/>
        <w:ind w:firstLine="1999"/>
        <w:spacing w:after="0" w:line="286" w:lineRule="auto"/>
        <w:tabs>
          <w:tab w:leader="none" w:pos="2765"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the event that, subsequent to the consummation of a Business Combination, the Company completes a liquidation, merger, share exchange or other similar transaction which results in all of the Company’s stockholders having the right to exchange their Common Stock for cash, securities or other property subsequent to the completion of the Company’s initial Business Combination;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clauses (a) through (f), these permitted transferees (the “</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must enter into a written agreement with the Company agreeing to be bound by the transfer restrictions in this Agreement and the other restrictions contained in the letter agreement, dated the date hereof, by and among the Company, the Sponsor and the Company’s officers and directors.</w:t>
      </w:r>
    </w:p>
    <w:p>
      <w:pPr>
        <w:spacing w:after="0" w:line="184"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Working Capital Warrants</w:t>
      </w:r>
      <w:r>
        <w:rPr>
          <w:rFonts w:ascii="Arial" w:cs="Arial" w:eastAsia="Arial" w:hAnsi="Arial"/>
          <w:sz w:val="16"/>
          <w:szCs w:val="16"/>
          <w:color w:val="auto"/>
        </w:rPr>
        <w:t>. Each of the Working Capital Warrants shall be identical to the Private Placement Warrants.</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Post-IPO Warrants</w:t>
      </w:r>
      <w:r>
        <w:rPr>
          <w:rFonts w:ascii="Arial" w:cs="Arial" w:eastAsia="Arial" w:hAnsi="Arial"/>
          <w:sz w:val="18"/>
          <w:szCs w:val="18"/>
          <w:color w:val="auto"/>
        </w:rPr>
        <w:t>. The Post-IPO Warrants, when and if issued, shall have the same terms and be in the same form as the Public Warrants except as may be agreed upon by the Company.</w:t>
      </w:r>
    </w:p>
    <w:p>
      <w:pPr>
        <w:spacing w:after="0" w:line="170" w:lineRule="exact"/>
        <w:rPr>
          <w:sz w:val="20"/>
          <w:szCs w:val="20"/>
          <w:color w:val="auto"/>
        </w:rPr>
      </w:pPr>
    </w:p>
    <w:p>
      <w:pPr>
        <w:ind w:left="1340" w:hanging="684"/>
        <w:spacing w:after="0"/>
        <w:tabs>
          <w:tab w:leader="none" w:pos="13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Warrant Price</w:t>
      </w:r>
      <w:r>
        <w:rPr>
          <w:rFonts w:ascii="Arial" w:cs="Arial" w:eastAsia="Arial" w:hAnsi="Arial"/>
          <w:sz w:val="18"/>
          <w:szCs w:val="18"/>
          <w:color w:val="auto"/>
        </w:rPr>
        <w:t xml:space="preserve">. Each whole Warrant shall entitle the Registered Holder thereof, subject to the provisions of such Warrant and of this Agreement, to purchase from the Company the number of shares of Common Stock stated therein, at the price of $11.50 per share, subject to the adjustments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in the last sentence of this </w:t>
      </w:r>
      <w:r>
        <w:rPr>
          <w:rFonts w:ascii="Arial" w:cs="Arial" w:eastAsia="Arial" w:hAnsi="Arial"/>
          <w:sz w:val="18"/>
          <w:szCs w:val="18"/>
          <w:u w:val="single" w:color="auto"/>
          <w:color w:val="auto"/>
        </w:rPr>
        <w:t>Section 3.1</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Warrant Price</w:t>
      </w:r>
      <w:r>
        <w:rPr>
          <w:rFonts w:ascii="Arial" w:cs="Arial" w:eastAsia="Arial" w:hAnsi="Arial"/>
          <w:sz w:val="18"/>
          <w:szCs w:val="18"/>
          <w:color w:val="auto"/>
        </w:rPr>
        <w:t>” as used in this Agreement shall mean the price per share (including in cash or by payment of Warrants pursuant to a “cashless exercise,” to the extent permitted hereunder) described in the prior sentence at which shares of Common Stock may be purchased at the time a Warrant is exercised. The Company in its sole discretion may lower the Warrant Price at any time prior to the Expiration Date (as defined below) for a period of not less than fifteen Business Days (unless otherwise required by the Commission, any national securities exchange on which the Warrants are listed or applicable law); provided that the Company shall provide at least five days’ prior written notice of such reduction to Registered Holders of the Warrants; and provided further, that any such reduction shall be identical among all of the Warrants.</w:t>
      </w:r>
    </w:p>
    <w:p>
      <w:pPr>
        <w:spacing w:after="0" w:line="19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Duration of Warrants</w:t>
      </w:r>
      <w:r>
        <w:rPr>
          <w:rFonts w:ascii="Arial" w:cs="Arial" w:eastAsia="Arial" w:hAnsi="Arial"/>
          <w:sz w:val="17"/>
          <w:szCs w:val="17"/>
          <w:color w:val="auto"/>
        </w:rPr>
        <w:t>. A Warrant may be exercised only during the period (the “</w:t>
      </w:r>
      <w:r>
        <w:rPr>
          <w:rFonts w:ascii="Arial" w:cs="Arial" w:eastAsia="Arial" w:hAnsi="Arial"/>
          <w:sz w:val="17"/>
          <w:szCs w:val="17"/>
          <w:b w:val="1"/>
          <w:bCs w:val="1"/>
          <w:i w:val="1"/>
          <w:iCs w:val="1"/>
          <w:color w:val="auto"/>
        </w:rPr>
        <w:t>Exercise Period</w:t>
      </w:r>
      <w:r>
        <w:rPr>
          <w:rFonts w:ascii="Arial" w:cs="Arial" w:eastAsia="Arial" w:hAnsi="Arial"/>
          <w:sz w:val="17"/>
          <w:szCs w:val="17"/>
          <w:color w:val="auto"/>
        </w:rPr>
        <w:t>”) (A) commencing on the date that is thirty (30) days after the first date on which the Company completes a Business Combination, and (B) terminating at the earliest to occur of</w:t>
      </w:r>
    </w:p>
    <w:p>
      <w:pPr>
        <w:jc w:val="both"/>
        <w:ind w:firstLine="8"/>
        <w:spacing w:after="0" w:line="268" w:lineRule="auto"/>
        <w:tabs>
          <w:tab w:leader="none" w:pos="256" w:val="left"/>
        </w:tabs>
        <w:numPr>
          <w:ilvl w:val="0"/>
          <w:numId w:val="61"/>
        </w:numPr>
        <w:rPr>
          <w:rFonts w:ascii="Arial" w:cs="Arial" w:eastAsia="Arial" w:hAnsi="Arial"/>
          <w:sz w:val="17"/>
          <w:szCs w:val="17"/>
          <w:color w:val="auto"/>
        </w:rPr>
      </w:pPr>
      <w:r>
        <w:rPr>
          <w:rFonts w:ascii="Arial" w:cs="Arial" w:eastAsia="Arial" w:hAnsi="Arial"/>
          <w:sz w:val="17"/>
          <w:szCs w:val="17"/>
          <w:color w:val="auto"/>
        </w:rPr>
        <w:t>5:00 p.m., New York City time on the date that is five (5) years after the date on which the Company completes its initial Business Combination, (y) the liquidation of the Company in accordance with the Company’s certificate of incorporation (as amended from time to time,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xml:space="preserve">”), if the Company fails to complete a Business Combination, and (z) 5:00 p.m., New York City time on the Redemption Date (as defined below) as provided in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hereof;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the exercise of any Warrant shall be subject to the satisfaction of any applicable conditions, as set forth in </w:t>
      </w:r>
      <w:r>
        <w:rPr>
          <w:rFonts w:ascii="Arial" w:cs="Arial" w:eastAsia="Arial" w:hAnsi="Arial"/>
          <w:sz w:val="17"/>
          <w:szCs w:val="17"/>
          <w:u w:val="single" w:color="auto"/>
          <w:color w:val="auto"/>
        </w:rPr>
        <w:t>subsection 3.3.2</w:t>
      </w:r>
      <w:r>
        <w:rPr>
          <w:rFonts w:ascii="Arial" w:cs="Arial" w:eastAsia="Arial" w:hAnsi="Arial"/>
          <w:sz w:val="17"/>
          <w:szCs w:val="17"/>
          <w:color w:val="auto"/>
        </w:rPr>
        <w:t xml:space="preserve"> below, with respect to an effective registration statement or a valid exemption therefrom being available. Except with respect to the right to receive the Redemption Price (as defined below) in the event of a redemption (as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each Warrant not exercised on or before the Redemption Date shall become void, and all rights thereunder and all rights in respect thereof under this Agreement shall cease at 5:00 p.m. New York City time on the Redemption Date. The Company in its sole discretion may extend the duration of the Warrants by delaying the Redemption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provide at least twenty (20) days prior written notice of any such extension to Registered Holders of the Warrants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such extension shall be identical in duration among all the Warrants.</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ind w:left="1300"/>
        <w:spacing w:after="0"/>
        <w:tabs>
          <w:tab w:leader="none" w:pos="21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Exercise of Warrants</w:t>
      </w:r>
      <w:r>
        <w:rPr>
          <w:rFonts w:ascii="Arial" w:cs="Arial" w:eastAsia="Arial" w:hAnsi="Arial"/>
          <w:sz w:val="16"/>
          <w:szCs w:val="16"/>
          <w:color w:val="auto"/>
        </w:rPr>
        <w:t>.</w:t>
      </w:r>
    </w:p>
    <w:p>
      <w:pPr>
        <w:spacing w:after="0" w:line="225" w:lineRule="exact"/>
        <w:rPr>
          <w:sz w:val="20"/>
          <w:szCs w:val="20"/>
          <w:color w:val="auto"/>
        </w:rPr>
      </w:pPr>
    </w:p>
    <w:p>
      <w:pPr>
        <w:jc w:val="both"/>
        <w:ind w:firstLine="1944"/>
        <w:spacing w:after="0" w:line="270" w:lineRule="auto"/>
        <w:rPr>
          <w:sz w:val="20"/>
          <w:szCs w:val="20"/>
          <w:color w:val="auto"/>
        </w:rPr>
      </w:pPr>
      <w:r>
        <w:rPr>
          <w:rFonts w:ascii="Arial" w:cs="Arial" w:eastAsia="Arial" w:hAnsi="Arial"/>
          <w:sz w:val="17"/>
          <w:szCs w:val="17"/>
          <w:color w:val="auto"/>
        </w:rPr>
        <w:t xml:space="preserve">3.3.1. </w:t>
      </w:r>
      <w:r>
        <w:rPr>
          <w:rFonts w:ascii="Arial" w:cs="Arial" w:eastAsia="Arial" w:hAnsi="Arial"/>
          <w:sz w:val="17"/>
          <w:szCs w:val="17"/>
          <w:u w:val="single" w:color="auto"/>
          <w:color w:val="auto"/>
        </w:rPr>
        <w:t>Payment</w:t>
      </w:r>
      <w:r>
        <w:rPr>
          <w:rFonts w:ascii="Arial" w:cs="Arial" w:eastAsia="Arial" w:hAnsi="Arial"/>
          <w:sz w:val="17"/>
          <w:szCs w:val="17"/>
          <w:color w:val="auto"/>
        </w:rPr>
        <w:t>. Subject to the provisions of the Warrant and this Agreement, a Warrant may be exercised by the Registered Holder thereof by delivering to the Warrant Agent at its corporate trust department (i) the Definitive Warrant Certificate evidencing the Warrants to be exercised, or, in the case of a Warrant represented by a book-entry, the Warrants to be exercised (the “</w:t>
      </w:r>
      <w:r>
        <w:rPr>
          <w:rFonts w:ascii="Arial" w:cs="Arial" w:eastAsia="Arial" w:hAnsi="Arial"/>
          <w:sz w:val="17"/>
          <w:szCs w:val="17"/>
          <w:b w:val="1"/>
          <w:bCs w:val="1"/>
          <w:i w:val="1"/>
          <w:iCs w:val="1"/>
          <w:color w:val="auto"/>
        </w:rPr>
        <w:t>Book-Entry Warrants</w:t>
      </w:r>
      <w:r>
        <w:rPr>
          <w:rFonts w:ascii="Arial" w:cs="Arial" w:eastAsia="Arial" w:hAnsi="Arial"/>
          <w:sz w:val="17"/>
          <w:szCs w:val="17"/>
          <w:color w:val="auto"/>
        </w:rPr>
        <w:t>”) on the records of the Depositary to an account of the Warrant Agent at the Depositary designated for such purposes in writing by the Warrant Agent to the Depositary from time to time, (ii) an election to purchase (“</w:t>
      </w:r>
      <w:r>
        <w:rPr>
          <w:rFonts w:ascii="Arial" w:cs="Arial" w:eastAsia="Arial" w:hAnsi="Arial"/>
          <w:sz w:val="17"/>
          <w:szCs w:val="17"/>
          <w:b w:val="1"/>
          <w:bCs w:val="1"/>
          <w:i w:val="1"/>
          <w:iCs w:val="1"/>
          <w:color w:val="auto"/>
        </w:rPr>
        <w:t>Election to Purchase</w:t>
      </w:r>
      <w:r>
        <w:rPr>
          <w:rFonts w:ascii="Arial" w:cs="Arial" w:eastAsia="Arial" w:hAnsi="Arial"/>
          <w:sz w:val="17"/>
          <w:szCs w:val="17"/>
          <w:color w:val="auto"/>
        </w:rPr>
        <w:t>”) any shares of Common Stock pursuant to the exercise of a Warrant, properly completed and executed by the Registered Holder on the reverse of the Definitive Warrant Certificate or, in the case of a Book-Entry Warrant, properly delivered by the Participant in accordance with the Depositary’s procedures, and (iii) the payment in full of the Warrant Price for each share of Common Stock as to which the Warrant is exercised and any and all applicable taxes due in connection with the exercise of the Warrant, the exchange of the Warrant for the shares of Common Stock and the issuance of such shares of Common Stock, as follows:</w:t>
      </w:r>
    </w:p>
    <w:p>
      <w:pPr>
        <w:spacing w:after="0" w:line="181" w:lineRule="exact"/>
        <w:rPr>
          <w:sz w:val="20"/>
          <w:szCs w:val="20"/>
          <w:color w:val="auto"/>
        </w:rPr>
      </w:pPr>
    </w:p>
    <w:p>
      <w:pPr>
        <w:ind w:left="2780" w:hanging="828"/>
        <w:spacing w:after="0"/>
        <w:tabs>
          <w:tab w:leader="none" w:pos="27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 lawful money of the United States, in good certified check or wire payable to the Warrant Agent;</w:t>
      </w:r>
    </w:p>
    <w:p>
      <w:pPr>
        <w:spacing w:after="0" w:line="225" w:lineRule="exact"/>
        <w:rPr>
          <w:rFonts w:ascii="Arial" w:cs="Arial" w:eastAsia="Arial" w:hAnsi="Arial"/>
          <w:sz w:val="18"/>
          <w:szCs w:val="18"/>
          <w:color w:val="auto"/>
        </w:rPr>
      </w:pPr>
    </w:p>
    <w:p>
      <w:pPr>
        <w:ind w:left="2740" w:hanging="788"/>
        <w:spacing w:after="0"/>
        <w:tabs>
          <w:tab w:leader="none" w:pos="27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952"/>
        <w:spacing w:after="0" w:line="285" w:lineRule="auto"/>
        <w:tabs>
          <w:tab w:leader="none" w:pos="2728" w:val="left"/>
        </w:tabs>
        <w:numPr>
          <w:ilvl w:val="1"/>
          <w:numId w:val="62"/>
        </w:numPr>
        <w:rPr>
          <w:rFonts w:ascii="Arial" w:cs="Arial" w:eastAsia="Arial" w:hAnsi="Arial"/>
          <w:sz w:val="16"/>
          <w:szCs w:val="16"/>
          <w:color w:val="auto"/>
        </w:rPr>
      </w:pPr>
      <w:r>
        <w:rPr>
          <w:rFonts w:ascii="Arial" w:cs="Arial" w:eastAsia="Arial" w:hAnsi="Arial"/>
          <w:sz w:val="16"/>
          <w:szCs w:val="16"/>
          <w:color w:val="auto"/>
        </w:rPr>
        <w:t>with respect to any Private Placement Warrant, so long as such Private Placement Warrant is held by the Sponsor, one of the Company’s directors or officers or a Permitted Transferee, by surrendering the Warrants for that number of shares of Common Stock equal to the quotient obtained by dividing (x) the product of the number of shares of Common Stock underlying the Warrants, multiplied by the excess of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Exercise Fair Market Value</w:t>
      </w:r>
      <w:r>
        <w:rPr>
          <w:rFonts w:ascii="Arial" w:cs="Arial" w:eastAsia="Arial" w:hAnsi="Arial"/>
          <w:sz w:val="16"/>
          <w:szCs w:val="16"/>
          <w:color w:val="auto"/>
        </w:rPr>
        <w:t>” (as defined in this</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subsection 3.3.1(c)</w:t>
      </w:r>
      <w:r>
        <w:rPr>
          <w:rFonts w:ascii="Arial" w:cs="Arial" w:eastAsia="Arial" w:hAnsi="Arial"/>
          <w:sz w:val="16"/>
          <w:szCs w:val="16"/>
          <w:color w:val="auto"/>
        </w:rPr>
        <w:t>) over the Warrant Price by (y) the Sponsor Exercise Fair Market Value. Solely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purposes of this </w:t>
      </w:r>
      <w:r>
        <w:rPr>
          <w:rFonts w:ascii="Arial" w:cs="Arial" w:eastAsia="Arial" w:hAnsi="Arial"/>
          <w:sz w:val="16"/>
          <w:szCs w:val="16"/>
          <w:u w:val="single" w:color="auto"/>
          <w:color w:val="auto"/>
        </w:rPr>
        <w:t>subsection 3.3.1(c)</w:t>
      </w:r>
      <w:r>
        <w:rPr>
          <w:rFonts w:ascii="Arial" w:cs="Arial" w:eastAsia="Arial" w:hAnsi="Arial"/>
          <w:sz w:val="16"/>
          <w:szCs w:val="16"/>
          <w:color w:val="auto"/>
        </w:rPr>
        <w:t>, the “</w:t>
      </w:r>
      <w:r>
        <w:rPr>
          <w:rFonts w:ascii="Arial" w:cs="Arial" w:eastAsia="Arial" w:hAnsi="Arial"/>
          <w:sz w:val="16"/>
          <w:szCs w:val="16"/>
          <w:b w:val="1"/>
          <w:bCs w:val="1"/>
          <w:i w:val="1"/>
          <w:iCs w:val="1"/>
          <w:color w:val="auto"/>
        </w:rPr>
        <w:t>Sponsor Fair Market Value</w:t>
      </w:r>
      <w:r>
        <w:rPr>
          <w:rFonts w:ascii="Arial" w:cs="Arial" w:eastAsia="Arial" w:hAnsi="Arial"/>
          <w:sz w:val="16"/>
          <w:szCs w:val="16"/>
          <w:color w:val="auto"/>
        </w:rPr>
        <w:t>” shall mean the average last reported sale price of the Common Stock for the ten</w:t>
      </w:r>
    </w:p>
    <w:p>
      <w:pPr>
        <w:spacing w:after="0" w:line="1" w:lineRule="exact"/>
        <w:rPr>
          <w:rFonts w:ascii="Arial" w:cs="Arial" w:eastAsia="Arial" w:hAnsi="Arial"/>
          <w:sz w:val="16"/>
          <w:szCs w:val="16"/>
          <w:color w:val="auto"/>
        </w:rPr>
      </w:pPr>
    </w:p>
    <w:p>
      <w:pPr>
        <w:ind w:right="20" w:firstLine="8"/>
        <w:spacing w:after="0" w:line="260" w:lineRule="auto"/>
        <w:tabs>
          <w:tab w:leader="none" w:pos="3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trading days ending on the third (3rd) trading day prior to the date on which notice of exercise of the Private Placement Warrant is sent to the Warrant Agent;</w:t>
      </w:r>
    </w:p>
    <w:p>
      <w:pPr>
        <w:spacing w:after="0" w:line="185" w:lineRule="exact"/>
        <w:rPr>
          <w:rFonts w:ascii="Arial" w:cs="Arial" w:eastAsia="Arial" w:hAnsi="Arial"/>
          <w:sz w:val="18"/>
          <w:szCs w:val="18"/>
          <w:color w:val="auto"/>
        </w:rPr>
      </w:pPr>
    </w:p>
    <w:p>
      <w:pPr>
        <w:ind w:left="2740" w:hanging="788"/>
        <w:spacing w:after="0"/>
        <w:tabs>
          <w:tab w:leader="none" w:pos="27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hereof with respect to a Make-Whole Exercise; or</w:t>
      </w:r>
    </w:p>
    <w:p>
      <w:pPr>
        <w:spacing w:after="0" w:line="225" w:lineRule="exact"/>
        <w:rPr>
          <w:rFonts w:ascii="Arial" w:cs="Arial" w:eastAsia="Arial" w:hAnsi="Arial"/>
          <w:sz w:val="18"/>
          <w:szCs w:val="18"/>
          <w:color w:val="auto"/>
        </w:rPr>
      </w:pPr>
    </w:p>
    <w:p>
      <w:pPr>
        <w:ind w:left="2740" w:hanging="788"/>
        <w:spacing w:after="0"/>
        <w:tabs>
          <w:tab w:leader="none" w:pos="27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firstLine="1944"/>
        <w:spacing w:after="0" w:line="284"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Issuance of Common Stock on Exercise</w:t>
      </w:r>
      <w:r>
        <w:rPr>
          <w:rFonts w:ascii="Arial" w:cs="Arial" w:eastAsia="Arial" w:hAnsi="Arial"/>
          <w:sz w:val="16"/>
          <w:szCs w:val="16"/>
          <w:color w:val="auto"/>
        </w:rPr>
        <w:t xml:space="preserve">. As soon as practicable after the exercise of any Warrant and the clearance of the funds in payment of the Warrant Price (if payment is pursuant to </w:t>
      </w:r>
      <w:r>
        <w:rPr>
          <w:rFonts w:ascii="Arial" w:cs="Arial" w:eastAsia="Arial" w:hAnsi="Arial"/>
          <w:sz w:val="16"/>
          <w:szCs w:val="16"/>
          <w:u w:val="single" w:color="auto"/>
          <w:color w:val="auto"/>
        </w:rPr>
        <w:t>subsection 3.3.1(a)</w:t>
      </w:r>
      <w:r>
        <w:rPr>
          <w:rFonts w:ascii="Arial" w:cs="Arial" w:eastAsia="Arial" w:hAnsi="Arial"/>
          <w:sz w:val="16"/>
          <w:szCs w:val="16"/>
          <w:color w:val="auto"/>
        </w:rPr>
        <w:t xml:space="preserve">), the Company shall issue to the Registered Holder of such Warrant a book-entry position or certificate, as applicable, for the number of full shares of Common Stock to which he, she or it is entitled, registered in such name or names as may be directed by him, her or it, and if such Warrant shall not have been exercised in full, a new book-entry position or countersigned Warrant, as applicable, for the number of shares of Common Stock as to which such Warrant shall not have been exercised. If fewer than all the Warrants evidenced by a Book Entry Warrant Certificate are exercised, a notation shall be made to the records maintained by the Depositary, its nominee for each Book Entry Warrant Certificate, or a Participant, as appropriate, evidencing the balance of the Warrants remaining after such exercise. Notwithstanding the foregoing, the Company shall not be obligated to deliver any shares of Common Stock pursuant to the exercise of a Warrant and shall have no obligation to settle such Warrant exercise unless a registration statement under the Securities Act with respect to the shares of Common Stock underlying the Public Warrants is then effective and a prospectus relating thereto is current, subject to the Company’s satisfying its obligations under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No Warrant shall be exercisable and the Company shall not be obligated to issue shares of Common Stock upon exercise of a Warrant unless the Common Stock issuable upon such Warrant exercise have been registered, qualified or deemed to be exempt from registration or qualification under the securities laws of the state of residence of the Registered Holder of the Warrants. In the event that the conditions in the two immediately preceding sentences are not satisfied with respect to a Warrant, the holder of such Warrant shall not be entitled to exercise such Warrant and such Warrant may have no value and expire worthless, in which case the purchaser of a Unit containing such Public Warrants shall have paid the full purchase price for the Units solely for the shares of Common Stock underlying such Unit. In no event will the Company be required to net cash settle the Warrant exercise. Subject to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of this Agreement, a Registered Holder of Warrants may exercise its Warrants only for a whole number of Common Stock. The Company may require holders of Public Warrants to settle the Warrant on a “cashless basis” pursuant to </w:t>
      </w:r>
      <w:r>
        <w:rPr>
          <w:rFonts w:ascii="Arial" w:cs="Arial" w:eastAsia="Arial" w:hAnsi="Arial"/>
          <w:sz w:val="16"/>
          <w:szCs w:val="16"/>
          <w:u w:val="single" w:color="auto"/>
          <w:color w:val="auto"/>
        </w:rPr>
        <w:t>Section 7.4</w:t>
      </w:r>
      <w:r>
        <w:rPr>
          <w:rFonts w:ascii="Arial" w:cs="Arial" w:eastAsia="Arial" w:hAnsi="Arial"/>
          <w:sz w:val="16"/>
          <w:szCs w:val="16"/>
          <w:color w:val="auto"/>
        </w:rPr>
        <w:t>. If, by reason of any exercise of Warrants on a “cashless basis”, the holder of any Warrant would be entitled, upon the exercise of such Warrant, to receive a fractional interest in a share of Common Stock, the Company shall round down to the nearest whole number, the number of shares of Common Stock to be issued to such holder.</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1944"/>
        <w:spacing w:after="0" w:line="27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of a Warrant in conformity with this Agreement shall be validly issued, fully paid and nonassessable.</w:t>
      </w:r>
    </w:p>
    <w:p>
      <w:pPr>
        <w:spacing w:after="0" w:line="170" w:lineRule="exact"/>
        <w:rPr>
          <w:sz w:val="20"/>
          <w:szCs w:val="20"/>
          <w:color w:val="auto"/>
        </w:rPr>
      </w:pPr>
    </w:p>
    <w:p>
      <w:pPr>
        <w:jc w:val="both"/>
        <w:ind w:firstLine="1944"/>
        <w:spacing w:after="0" w:line="293"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Date of Issuance</w:t>
      </w:r>
      <w:r>
        <w:rPr>
          <w:rFonts w:ascii="Arial" w:cs="Arial" w:eastAsia="Arial" w:hAnsi="Arial"/>
          <w:sz w:val="16"/>
          <w:szCs w:val="16"/>
          <w:color w:val="auto"/>
        </w:rPr>
        <w:t>. Each person in whose name any book-entry position or certificate, as applicable, for shares of Common Stock is issued shall for all purposes be deemed to have become the holder of record of such shares of Common Stock on the date on which the Warrant, or book-entry position representing such Warrant, was surrendered and payment of the Warrant Price was made, irrespective of the date of delivery of such certificate in the case of a certificated Warrant, except that, if the date of such surrender and payment is a date when the share transfer books of the Company or book-entry system of the Warrant Agent are closed, such person shall be deemed to have become the holder of such shares of Common Stock at the close of business on the next succeeding date on which the share transfer books or book-entry system are open.</w:t>
      </w:r>
    </w:p>
    <w:p>
      <w:pPr>
        <w:spacing w:after="0" w:line="164" w:lineRule="exact"/>
        <w:rPr>
          <w:sz w:val="20"/>
          <w:szCs w:val="20"/>
          <w:color w:val="auto"/>
        </w:rPr>
      </w:pPr>
    </w:p>
    <w:p>
      <w:pPr>
        <w:jc w:val="both"/>
        <w:ind w:firstLine="1944"/>
        <w:spacing w:after="0" w:line="284"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Maximum Percentage</w:t>
      </w:r>
      <w:r>
        <w:rPr>
          <w:rFonts w:ascii="Arial" w:cs="Arial" w:eastAsia="Arial" w:hAnsi="Arial"/>
          <w:sz w:val="16"/>
          <w:szCs w:val="16"/>
          <w:color w:val="auto"/>
        </w:rPr>
        <w:t xml:space="preserve">. A holder of a Warrant may notify the Company in writing in the event it elects to be subject to the provisions contained in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however, no holder of a Warrant shall be subject to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(the “</w:t>
      </w:r>
      <w:r>
        <w:rPr>
          <w:rFonts w:ascii="Arial" w:cs="Arial" w:eastAsia="Arial" w:hAnsi="Arial"/>
          <w:sz w:val="16"/>
          <w:szCs w:val="16"/>
          <w:b w:val="1"/>
          <w:bCs w:val="1"/>
          <w:i w:val="1"/>
          <w:i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Commission as the case may be, (2) a more recent public announcement by the Company or (3) any other notice by the Company or Continental Stock Transfer &amp; Trust Company, as transfer agent (in such capacity, the “</w:t>
      </w:r>
      <w:r>
        <w:rPr>
          <w:rFonts w:ascii="Arial" w:cs="Arial" w:eastAsia="Arial" w:hAnsi="Arial"/>
          <w:sz w:val="16"/>
          <w:szCs w:val="16"/>
          <w:b w:val="1"/>
          <w:bCs w:val="1"/>
          <w:i w:val="1"/>
          <w:iCs w:val="1"/>
          <w:color w:val="auto"/>
        </w:rPr>
        <w:t>Transfer Agent</w:t>
      </w:r>
      <w:r>
        <w:rPr>
          <w:rFonts w:ascii="Arial" w:cs="Arial" w:eastAsia="Arial" w:hAnsi="Arial"/>
          <w:sz w:val="16"/>
          <w:szCs w:val="16"/>
          <w:color w:val="auto"/>
        </w:rPr>
        <w:t xml:space="preserve">”),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issued and outstanding shares of Common Stock shall be determined after giving effect to the conversion or exercise of equity securities of the Company by the holder and its affiliates since the date as of which such number of issued and outstanding shares of Common Stock was reported. By written notice to the Company, the holder of a Warrant may from time to time increase or decrease the Maximum Percentage applicable to such holder to any other percentage specified in such notice;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any such increase shall not be effective until the sixty-first (61st) day after such notice is delivered to the Company.</w:t>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ind w:left="1380" w:hanging="724"/>
        <w:spacing w:after="0"/>
        <w:tabs>
          <w:tab w:leader="none" w:pos="13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Stock Dividends</w:t>
      </w:r>
      <w:r>
        <w:rPr>
          <w:rFonts w:ascii="Arial" w:cs="Arial" w:eastAsia="Arial" w:hAnsi="Arial"/>
          <w:sz w:val="16"/>
          <w:szCs w:val="16"/>
          <w:color w:val="auto"/>
        </w:rPr>
        <w:t>.</w:t>
      </w:r>
    </w:p>
    <w:p>
      <w:pPr>
        <w:spacing w:after="0" w:line="225" w:lineRule="exact"/>
        <w:rPr>
          <w:sz w:val="20"/>
          <w:szCs w:val="20"/>
          <w:color w:val="auto"/>
        </w:rPr>
      </w:pPr>
    </w:p>
    <w:p>
      <w:pPr>
        <w:jc w:val="both"/>
        <w:ind w:firstLine="1944"/>
        <w:spacing w:after="0" w:line="268"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Split-Ups</w:t>
      </w:r>
      <w:r>
        <w:rPr>
          <w:rFonts w:ascii="Arial" w:cs="Arial" w:eastAsia="Arial" w:hAnsi="Arial"/>
          <w:sz w:val="17"/>
          <w:szCs w:val="17"/>
          <w:color w:val="auto"/>
        </w:rPr>
        <w:t xml:space="preserve">. If after the date hereof, and subject to the provisions of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below, the number of issued and outstanding shares of Common Stock is increased by a stock dividend of Common Stock, or by a split-up of shares of Common Stock or other similar event, then, on the effective date of such share split-ups or similar event, the number of shares of Common Stock issuable on exercise of each Warrant shall be increased in proportion to such increase in the issued and outstanding shares of Common Stock. A rights offering made to all or substantially all holders of the Common Stock entitling holders to purchase shares of Common Stock at a price less than the “Historical Fair Market Value” (as defined below)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Common Stock) and (ii) one (1) minus the quotient of (x) the price per share of Common Stock paid in such rights offering divided by (y) the Historical Fair Market Value. For purposes of this </w:t>
      </w:r>
      <w:r>
        <w:rPr>
          <w:rFonts w:ascii="Arial" w:cs="Arial" w:eastAsia="Arial" w:hAnsi="Arial"/>
          <w:sz w:val="17"/>
          <w:szCs w:val="17"/>
          <w:u w:val="single" w:color="auto"/>
          <w:color w:val="auto"/>
        </w:rPr>
        <w:t>subsection 4.1.1</w:t>
      </w:r>
      <w:r>
        <w:rPr>
          <w:rFonts w:ascii="Arial" w:cs="Arial" w:eastAsia="Arial" w:hAnsi="Arial"/>
          <w:sz w:val="17"/>
          <w:szCs w:val="17"/>
          <w:color w:val="auto"/>
        </w:rPr>
        <w:t>, (i) if the rights offering is for securities convertible into or exercisable for Common Stock, in determining the price payable for Common Stock, there shall be taken into account any consideration received for such rights, as well as any additional amount payable upon exercise or conversion and (ii) “</w:t>
      </w:r>
      <w:r>
        <w:rPr>
          <w:rFonts w:ascii="Arial" w:cs="Arial" w:eastAsia="Arial" w:hAnsi="Arial"/>
          <w:sz w:val="17"/>
          <w:szCs w:val="17"/>
          <w:b w:val="1"/>
          <w:bCs w:val="1"/>
          <w:i w:val="1"/>
          <w:iCs w:val="1"/>
          <w:color w:val="auto"/>
        </w:rPr>
        <w:t>Historical Fair Market Value</w:t>
      </w:r>
      <w:r>
        <w:rPr>
          <w:rFonts w:ascii="Arial" w:cs="Arial" w:eastAsia="Arial" w:hAnsi="Arial"/>
          <w:sz w:val="17"/>
          <w:szCs w:val="17"/>
          <w:color w:val="auto"/>
        </w:rPr>
        <w:t>” means the volume weighted average price of the Common Stock during the ten (10) trading day period ending on the trading day prior to the first date on which the shares of Common Stock trade on the applicable exchange or in the applicable market, regular way, without the right to receive such rights.</w:t>
      </w:r>
    </w:p>
    <w:p>
      <w:pPr>
        <w:spacing w:after="0" w:line="186" w:lineRule="exact"/>
        <w:rPr>
          <w:sz w:val="20"/>
          <w:szCs w:val="20"/>
          <w:color w:val="auto"/>
        </w:rPr>
      </w:pPr>
    </w:p>
    <w:p>
      <w:pPr>
        <w:jc w:val="both"/>
        <w:ind w:firstLine="1944"/>
        <w:spacing w:after="0" w:line="285"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Extraordinary Dividends</w:t>
      </w:r>
      <w:r>
        <w:rPr>
          <w:rFonts w:ascii="Arial" w:cs="Arial" w:eastAsia="Arial" w:hAnsi="Arial"/>
          <w:sz w:val="16"/>
          <w:szCs w:val="16"/>
          <w:color w:val="auto"/>
        </w:rPr>
        <w:t xml:space="preserve">. If the Company, at any time while the Warrants are outstanding and unexpired, pays to all or substantially all of the holders of the Common Stock a dividend or makes a distribution in cash, securities or other assets on account of such shares of Common Stock (or other shares into which the Warrants are convertible), other than (a) as described in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above, (b) Ordinary Cash Dividends (as defined below), (c) to satisfy the redemption rights of the holders of the Common Stock in connection with a proposed initial Business Combination, (d) to satisfy the redemption rights of the holders of the Common Stock in connection with a stockholder vote to amend the Company’s Charter (i) to modify the substance or timing of the Company’s obligation to provide holders of Common Stock the right to have their shares redeemed in connection with the Company’s initial Business Combination or to redeem 100% of the Company’s public shares if it does not complete its initial Business Combination within the period set forth in the Charter, or (ii) with respect to any other provision relating to the rights of holders of Common Stock or (e) in connection with the redemption of public shares upon the failure of the Company to complete its initial Business Combination and any subsequent distribution of its assets upon its liquidation (any such non-excluded event being referred to herein as an “</w:t>
      </w:r>
      <w:r>
        <w:rPr>
          <w:rFonts w:ascii="Arial" w:cs="Arial" w:eastAsia="Arial" w:hAnsi="Arial"/>
          <w:sz w:val="16"/>
          <w:szCs w:val="16"/>
          <w:b w:val="1"/>
          <w:bCs w:val="1"/>
          <w:i w:val="1"/>
          <w:iCs w:val="1"/>
          <w:color w:val="auto"/>
        </w:rPr>
        <w:t>Extraordinary Dividend</w:t>
      </w:r>
      <w:r>
        <w:rPr>
          <w:rFonts w:ascii="Arial" w:cs="Arial" w:eastAsia="Arial" w:hAnsi="Arial"/>
          <w:sz w:val="16"/>
          <w:szCs w:val="16"/>
          <w:color w:val="auto"/>
        </w:rPr>
        <w:t>”), then the Warrant Price shall be decreased, effective immediately after the effective date of such Extraordinary Dividend, by the amount of cash and/or the fair market value (as determined by the Company’s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xml:space="preserve">”), in good faith) of any securities or other assets paid on each share of Common Stock in respect of such Extraordinary Dividend. For purposes of this </w:t>
      </w:r>
      <w:r>
        <w:rPr>
          <w:rFonts w:ascii="Arial" w:cs="Arial" w:eastAsia="Arial" w:hAnsi="Arial"/>
          <w:sz w:val="16"/>
          <w:szCs w:val="16"/>
          <w:u w:val="single" w:color="auto"/>
          <w:color w:val="auto"/>
        </w:rPr>
        <w:t>subsection 4.1.2</w:t>
      </w:r>
      <w:r>
        <w:rPr>
          <w:rFonts w:ascii="Arial" w:cs="Arial" w:eastAsia="Arial" w:hAnsi="Arial"/>
          <w:sz w:val="16"/>
          <w:szCs w:val="16"/>
          <w:color w:val="auto"/>
        </w:rPr>
        <w:t>, “</w:t>
      </w:r>
      <w:r>
        <w:rPr>
          <w:rFonts w:ascii="Arial" w:cs="Arial" w:eastAsia="Arial" w:hAnsi="Arial"/>
          <w:sz w:val="16"/>
          <w:szCs w:val="16"/>
          <w:b w:val="1"/>
          <w:bCs w:val="1"/>
          <w:i w:val="1"/>
          <w:iCs w:val="1"/>
          <w:color w:val="auto"/>
        </w:rPr>
        <w:t>Ordinary Cash Dividends</w:t>
      </w:r>
      <w:r>
        <w:rPr>
          <w:rFonts w:ascii="Arial" w:cs="Arial" w:eastAsia="Arial" w:hAnsi="Arial"/>
          <w:sz w:val="16"/>
          <w:szCs w:val="16"/>
          <w:color w:val="auto"/>
        </w:rPr>
        <w:t xml:space="preserve">” means any cash dividend or cash distribution that, when combined on a per share basis, with the per share amounts of all other cash dividends and cash distributions paid on the Common Stock during the 365-day period ending on the date of declaration of such dividend or distribution to the extent it does not exceed $0.50 (which amount shall be adjusted to appropriately reflect any of the events referred to in other subsections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excluding cash dividends or cash distributions that resulted in an adjustment to the Warrant Price or to the number of shares of Common Stock issuable on exercise of each Warrant).</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1296"/>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hereof, the number of issued and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shall be decreased in proportion to such decrease in issued and outstanding shares of Common Stock.</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Adjustments in Warrant Price</w:t>
      </w:r>
      <w:r>
        <w:rPr>
          <w:rFonts w:ascii="Arial" w:cs="Arial" w:eastAsia="Arial" w:hAnsi="Arial"/>
          <w:sz w:val="18"/>
          <w:szCs w:val="18"/>
          <w:color w:val="auto"/>
        </w:rPr>
        <w:t xml:space="preserve">. Whenever the number of shares of Common Stock purchasable upon the exercise of the Warrants is adjusted, as provided in </w:t>
      </w:r>
      <w:r>
        <w:rPr>
          <w:rFonts w:ascii="Arial" w:cs="Arial" w:eastAsia="Arial" w:hAnsi="Arial"/>
          <w:sz w:val="18"/>
          <w:szCs w:val="18"/>
          <w:u w:val="single" w:color="auto"/>
          <w:color w:val="auto"/>
        </w:rPr>
        <w:t>subsection 4.1.1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above,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spacing w:after="0" w:line="188"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Raising of Capital in Connection with the Initial Business Combination</w:t>
      </w:r>
      <w:r>
        <w:rPr>
          <w:rFonts w:ascii="Arial" w:cs="Arial" w:eastAsia="Arial" w:hAnsi="Arial"/>
          <w:sz w:val="17"/>
          <w:szCs w:val="17"/>
          <w:color w:val="auto"/>
        </w:rPr>
        <w:t>. If (x) the Company issues additional shares of Common Stock or equity-linked securities for capital raising purposes in connection with the closing of its initial Business Combination at an issue price or effective issue price of less than $9.20 per share of Common Stock (with such issue price or effective issue price to be determined in good faith by the Board and, in the case of any such issuance to the Sponsor or its affiliates, without taking into account any shares of Class B Common Stock (as defined below), par value $0.0001 per share, of the Company held by the Sponsor or such affiliates, as applicable, prior to such issuance) (the “</w:t>
      </w:r>
      <w:r>
        <w:rPr>
          <w:rFonts w:ascii="Arial" w:cs="Arial" w:eastAsia="Arial" w:hAnsi="Arial"/>
          <w:sz w:val="17"/>
          <w:szCs w:val="17"/>
          <w:b w:val="1"/>
          <w:bCs w:val="1"/>
          <w:i w:val="1"/>
          <w:iCs w:val="1"/>
          <w:color w:val="auto"/>
        </w:rPr>
        <w:t>Newly Issued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Price</w:t>
      </w:r>
      <w:r>
        <w:rPr>
          <w:rFonts w:ascii="Arial" w:cs="Arial" w:eastAsia="Arial" w:hAnsi="Arial"/>
          <w:sz w:val="17"/>
          <w:szCs w:val="17"/>
          <w:color w:val="auto"/>
        </w:rPr>
        <w:t>”), (y) the aggregate gross proceeds from such issuances represent more than 60% of the total equity proceeds, and interest thereon, available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funding of the Company’s initial Business Combination on the date of the completion of the Company’s initial Business Combination (net of redemptions), and (z) the volume-weighted average trading price of the Common Stock during the twenty (20) trading day period starting on the trading day prior to the day on which the Company consummates its initial Business Combination (such price, the “</w:t>
      </w:r>
      <w:r>
        <w:rPr>
          <w:rFonts w:ascii="Arial" w:cs="Arial" w:eastAsia="Arial" w:hAnsi="Arial"/>
          <w:sz w:val="17"/>
          <w:szCs w:val="17"/>
          <w:b w:val="1"/>
          <w:bCs w:val="1"/>
          <w:i w:val="1"/>
          <w:iCs w:val="1"/>
          <w:color w:val="auto"/>
        </w:rPr>
        <w:t>Market Value</w:t>
      </w:r>
      <w:r>
        <w:rPr>
          <w:rFonts w:ascii="Arial" w:cs="Arial" w:eastAsia="Arial" w:hAnsi="Arial"/>
          <w:sz w:val="17"/>
          <w:szCs w:val="17"/>
          <w:color w:val="auto"/>
        </w:rPr>
        <w:t xml:space="preserve">”) is below $9.20 per share, the Warrant Price shall be adjusted (to the nearest cent) to be equal to 115% of the higher of the Market Value and the Newly Issued Price, the $18.00 per share redemption trigger price described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shall be adjusted (to the nearest cent) to be equal to 180% of the higher of the Market Value and the Newly Issued Price and the $10.00 per share redemption trigger price described in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shall be adjusted (to the nearest cent) to be equal to the higher of the Market Value and the Newly Issued Price.</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1296"/>
        <w:spacing w:after="0" w:line="283"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issued and outstanding shares of Common Stock (other than a change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or that solely affects the par value of such shares of Common Stock), or in the case of any merger or consolidation of the Company with or into another corporation (other than a consolidation or merger in which the Company is the continuing corporation (and is not a subsidiary of another entity whose stockholders did not own all or substantially all of the Common Stock of the Company in substantially the same proportions immediately before such transaction) and that does not result in any reclassification or reorganization of the issued and outstanding shares of Common Stock), or in the case of any sale or conveyance to another corporation or entity of the assets or other property of the Company as an entirety or substantially as an entirety in connection with which the Company is dissolved, the holders of the Warrants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or stock or other securities or property (including cash) receivable upon such reclassification, reorganization, merger or consolidation, or upon a dissolution following any such sale or transfer, that the holder of the Warrants would have received if such holder had exercised his, her or its Warrant(s) immediately prior to such event (the “</w:t>
      </w:r>
      <w:r>
        <w:rPr>
          <w:rFonts w:ascii="Arial" w:cs="Arial" w:eastAsia="Arial" w:hAnsi="Arial"/>
          <w:sz w:val="16"/>
          <w:szCs w:val="16"/>
          <w:b w:val="1"/>
          <w:bCs w:val="1"/>
          <w:i w:val="1"/>
          <w:iCs w:val="1"/>
          <w:color w:val="auto"/>
        </w:rPr>
        <w:t>Alternative Issuance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 if the holders of the Common Stock were entitled to exercise a right of election as to the kind or amount of securities, cash or other assets receivable upon such consolidation or merger, then the kind and amount of securities, cash or other assets constituting the Alternative Issuance for which each Warrant shall become exercisable shall be deemed to be the weighted average of the kind and amount received per share by the holders of the Common Stock in such consolidation or merger that affirmatively make such election, and (ii) if a tender, exchange or redemption offer shall have been made to and accepted by the holders of the Common Stock (other than a tender, exchange or redemption offer made by the Company in connection with redemption rights held by stockholders of the Company as provided for in the Charter or as a result of the redemption of shares of Common Stock by the Company if a proposed initial Business Combination is presented to the stockholders of the Company for approval)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Common Stock, the holder of a Warrant shall be entitled to receive as the Alternative Issuance, the highest amount of cash, securities or other property to which such holder would actually have been entitled as a stockholder if such Warrant holder had exercised the Warrant prior to the expiration of such tender or exchange offer, accepted such offer and all of the Common Stock held by such holder had been purchased pursuant to such tender or exchange offer, subject to adjustments (from and after the consummation of such tender or exchange offer) as nearly equivalent as possible to the adjustments provided for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less than 70% of the consideration receivable by the holders of the Common Stock in the applicable event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properly exercises the Warrant within thirty (30) days following the public disclosure of the consummation of such applicable event by the Company pursuant to a Current Report on Form 8-K filed with the Commission, the Warrant Price shall be reduced by an amount (in dollars) equal to the difference of (i) the Warrant Price in effect prior to such reduction minus (ii) (A) the Per Share Consideration (as defined below) (but in no event less than zero) minus (B) the Black-Scholes Warrant Value (as defined below). The “</w:t>
      </w:r>
      <w:r>
        <w:rPr>
          <w:rFonts w:ascii="Arial" w:cs="Arial" w:eastAsia="Arial" w:hAnsi="Arial"/>
          <w:sz w:val="16"/>
          <w:szCs w:val="16"/>
          <w:b w:val="1"/>
          <w:bCs w:val="1"/>
          <w:i w:val="1"/>
          <w:iCs w:val="1"/>
          <w:color w:val="auto"/>
        </w:rPr>
        <w:t>Black-Scholes Warrant Value</w:t>
      </w:r>
      <w:r>
        <w:rPr>
          <w:rFonts w:ascii="Arial" w:cs="Arial" w:eastAsia="Arial" w:hAnsi="Arial"/>
          <w:sz w:val="16"/>
          <w:szCs w:val="16"/>
          <w:color w:val="auto"/>
        </w:rPr>
        <w:t>” means the value of a Warrant immediately prior to the consummation of the applicable event based on the Black-Scholes Warrant Model for a Capped American Call on Bloomberg Financial Markets (assuming zero dividends) (“</w:t>
      </w:r>
      <w:r>
        <w:rPr>
          <w:rFonts w:ascii="Arial" w:cs="Arial" w:eastAsia="Arial" w:hAnsi="Arial"/>
          <w:sz w:val="16"/>
          <w:szCs w:val="16"/>
          <w:b w:val="1"/>
          <w:bCs w:val="1"/>
          <w:i w:val="1"/>
          <w:iCs w:val="1"/>
          <w:color w:val="auto"/>
        </w:rPr>
        <w:t>Bloomberg</w:t>
      </w:r>
      <w:r>
        <w:rPr>
          <w:rFonts w:ascii="Arial" w:cs="Arial" w:eastAsia="Arial" w:hAnsi="Arial"/>
          <w:sz w:val="16"/>
          <w:szCs w:val="16"/>
          <w:color w:val="auto"/>
        </w:rPr>
        <w:t xml:space="preserve">”). For purposes of calculating such amount, (i)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Agreement shall be taken into account, (ii) the price of each share of Common Stock shall be the volume weighted average price of the Common Stock during the ten (10) trading day period ending on the trading day prior to the effective date of the applicable event, (iii) the assumed volatility shall be the 90 day volatility obtained from the HVT function on Bloomberg determined as of the trading day immediately prior to the day of the announcement of the applicable event and (iv) the assumed risk-free interest rate shall correspond to the U.S. Treasury rate for a period equal to the remaining term of the Warrant. “</w:t>
      </w:r>
      <w:r>
        <w:rPr>
          <w:rFonts w:ascii="Arial" w:cs="Arial" w:eastAsia="Arial" w:hAnsi="Arial"/>
          <w:sz w:val="16"/>
          <w:szCs w:val="16"/>
          <w:b w:val="1"/>
          <w:bCs w:val="1"/>
          <w:i w:val="1"/>
          <w:iCs w:val="1"/>
          <w:color w:val="auto"/>
        </w:rPr>
        <w:t>Per Share Consideration</w:t>
      </w:r>
      <w:r>
        <w:rPr>
          <w:rFonts w:ascii="Arial" w:cs="Arial" w:eastAsia="Arial" w:hAnsi="Arial"/>
          <w:sz w:val="16"/>
          <w:szCs w:val="16"/>
          <w:color w:val="auto"/>
        </w:rPr>
        <w:t xml:space="preserve">” means (i) if the consideration paid to holders of the Common Stock consists exclusively of cash, the amount of such cash per share of Common Stock, and (ii) in all other cases, the volume weighted average price of the Common Stock as reported during the ten (10) trading day period ending on the trading day prior to the effective date of the applicable event. If any reclassification or reorganization also results in a change in shares of Common Stock covered by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then such adjustment shall be made pursuant to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4.2</w:t>
      </w:r>
      <w:r>
        <w:rPr>
          <w:rFonts w:ascii="Arial" w:cs="Arial" w:eastAsia="Arial" w:hAnsi="Arial"/>
          <w:sz w:val="16"/>
          <w:szCs w:val="16"/>
          <w:color w:val="auto"/>
        </w:rPr>
        <w:t xml:space="preserve">,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shall similarly apply to successive reclassifications, reorganizations, mergers or consolidations, sales or other transfers. In no event shall the Warrant Price be reduced to less than the par value per share issuable upon exercise of such Warrant.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1296"/>
        <w:spacing w:after="0" w:line="25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Notices of Changes in Warrant</w:t>
      </w:r>
      <w:r>
        <w:rPr>
          <w:rFonts w:ascii="Arial" w:cs="Arial" w:eastAsia="Arial" w:hAnsi="Arial"/>
          <w:sz w:val="18"/>
          <w:szCs w:val="18"/>
          <w:color w:val="auto"/>
        </w:rPr>
        <w:t xml:space="preserve">. Upon every adjustment of the Warrant Price or the number of shares of Common Stock issuable upon exercise of a Warrant, the Company shall give written notice thereof to the Warrant Agent, which notice shall state the Warrant Price resulting from such adjustment and the increase or decrease, if any, in the number of shares of Common Stock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8"/>
          <w:szCs w:val="18"/>
          <w:u w:val="single" w:color="auto"/>
          <w:color w:val="auto"/>
        </w:rPr>
        <w:t>Sections 4.1, 4.2, 4.3, 4.4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4.5</w:t>
      </w:r>
      <w:r>
        <w:rPr>
          <w:rFonts w:ascii="Arial" w:cs="Arial" w:eastAsia="Arial" w:hAnsi="Arial"/>
          <w:sz w:val="18"/>
          <w:szCs w:val="18"/>
          <w:color w:val="auto"/>
        </w:rPr>
        <w: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spacing w:after="0" w:line="19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xml:space="preserve">. Notwithstanding any provision contained in this Agreement to the contrary, the Company shall not issue fractional shares of Common Stock upon the exercise of Warrants. If, by reason of any adjustment made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holder of any Warrant would be entitled, upon the exercise of such Warrant, to receive a fractional interest in a share, the Company shall, upon such exercise, round down to the nearest whole number the number of shares of Common Stock to be issued to such holder.</w:t>
      </w:r>
    </w:p>
    <w:p>
      <w:pPr>
        <w:spacing w:after="0" w:line="187"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Form of Warrant</w:t>
      </w:r>
      <w:r>
        <w:rPr>
          <w:rFonts w:ascii="Arial" w:cs="Arial" w:eastAsia="Arial" w:hAnsi="Arial"/>
          <w:sz w:val="17"/>
          <w:szCs w:val="17"/>
          <w:color w:val="auto"/>
        </w:rPr>
        <w:t xml:space="preserve">. The form of Warrant need not be changed because of any adjustment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and Warrants issued after such adjustment may state the same Warrant Price and the same number of shares of Common Stock as is stated in the Warrants initially issued pursuant to this Agreement; provided, however,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76"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Other Events</w:t>
      </w:r>
      <w:r>
        <w:rPr>
          <w:rFonts w:ascii="Arial" w:cs="Arial" w:eastAsia="Arial" w:hAnsi="Arial"/>
          <w:sz w:val="18"/>
          <w:szCs w:val="18"/>
          <w:color w:val="auto"/>
        </w:rPr>
        <w:t xml:space="preserve">. In case any event shall occur affecting the Company as to which none of the provisions of the preceding subsections of this Section 4 are strictly applicable, but which would require an adjustment to the terms of the Warrants in order to (i) avoid an adverse impact on the Warrants and (ii) effectuate the intent and purpose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if they determine that an adjustment is necessary, the terms of such adjustment. The Company shall adjust the terms of the Warrants in a manner that is consistent with any adjustment recommended in such opinion.</w:t>
      </w:r>
    </w:p>
    <w:p>
      <w:pPr>
        <w:spacing w:after="0" w:line="19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 Adjustment</w:t>
      </w:r>
      <w:r>
        <w:rPr>
          <w:rFonts w:ascii="Arial" w:cs="Arial" w:eastAsia="Arial" w:hAnsi="Arial"/>
          <w:sz w:val="18"/>
          <w:szCs w:val="18"/>
          <w:color w:val="auto"/>
        </w:rPr>
        <w:t>. For the avoidance of doubt, no adjustment shall be made to the terms of the Warrants solely as a result of an adjustment to the conversion ratio of the shares of the Company's Class B common stock (the “</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into Common Stock or the conversion of the shares of Class B Common Stock into Common Stock, in each case, pursuant to the Charter.</w:t>
      </w:r>
    </w:p>
    <w:p>
      <w:pPr>
        <w:spacing w:after="0" w:line="184" w:lineRule="exact"/>
        <w:rPr>
          <w:sz w:val="20"/>
          <w:szCs w:val="20"/>
          <w:color w:val="auto"/>
        </w:rPr>
      </w:pPr>
    </w:p>
    <w:p>
      <w:pPr>
        <w:ind w:left="1340" w:hanging="684"/>
        <w:spacing w:after="0"/>
        <w:tabs>
          <w:tab w:leader="none" w:pos="13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Registration of Transfer</w:t>
      </w:r>
      <w:r>
        <w:rPr>
          <w:rFonts w:ascii="Arial" w:cs="Arial" w:eastAsia="Arial" w:hAnsi="Arial"/>
          <w:sz w:val="18"/>
          <w:szCs w:val="18"/>
          <w:color w:val="auto"/>
        </w:rPr>
        <w:t>. The Warrant Agent shall register the transfer, from time to time, of any outstanding Warrant upon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1296"/>
        <w:spacing w:after="0" w:line="27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Procedure for Surrender of Warrants</w:t>
      </w:r>
      <w:r>
        <w:rPr>
          <w:rFonts w:ascii="Arial" w:cs="Arial" w:eastAsia="Arial" w:hAnsi="Arial"/>
          <w:sz w:val="17"/>
          <w:szCs w:val="17"/>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except as otherwise provided herein or with respect to any Book-Entry Warrant, each Book-Entry Warrant may be transferred only in whole and only to the Depositary, to another nominee of the Depositary, to a successor depository, or to a nominee of a successor depository;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that a Warrant surrendered for transfer bears a restrictive legend (as in the case of the Private Placement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that shall result in the issuance of a warrant certificate or book-entry position for a fraction of a warrant, except as part of the Units.</w:t>
      </w:r>
    </w:p>
    <w:p>
      <w:pPr>
        <w:spacing w:after="0" w:line="170"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Service Charges</w:t>
      </w:r>
      <w:r>
        <w:rPr>
          <w:rFonts w:ascii="Arial" w:cs="Arial" w:eastAsia="Arial" w:hAnsi="Arial"/>
          <w:sz w:val="16"/>
          <w:szCs w:val="16"/>
          <w:color w:val="auto"/>
        </w:rPr>
        <w:t>. No service charge shall be made for any exchange or registration of transfer of Warrants.</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xml:space="preserve">. The Warrant Agent is hereby authorized to countersign and to deliver, in accordance with the terms of this Agreement, the Warrants required to be issued pursuant to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and the Company, whenever required by the Warrant Agent, shall supply the Warrant Agent with Warrants duly executed on behalf of the Company for such purpose.</w:t>
      </w:r>
    </w:p>
    <w:p>
      <w:pPr>
        <w:spacing w:after="0" w:line="16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Transfer of Warrants</w:t>
      </w:r>
      <w:r>
        <w:rPr>
          <w:rFonts w:ascii="Arial" w:cs="Arial" w:eastAsia="Arial" w:hAnsi="Arial"/>
          <w:sz w:val="17"/>
          <w:szCs w:val="17"/>
          <w:color w:val="auto"/>
        </w:rPr>
        <w:t xml:space="preserve">.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shall have no effect on any transfer of Warrants on and after the Detachment Date.</w:t>
      </w:r>
    </w:p>
    <w:p>
      <w:pPr>
        <w:spacing w:after="0" w:line="171" w:lineRule="exact"/>
        <w:rPr>
          <w:sz w:val="20"/>
          <w:szCs w:val="20"/>
          <w:color w:val="auto"/>
        </w:rPr>
      </w:pPr>
    </w:p>
    <w:p>
      <w:pPr>
        <w:ind w:left="1380" w:hanging="724"/>
        <w:spacing w:after="0"/>
        <w:tabs>
          <w:tab w:leader="none" w:pos="13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Redemption of Warrants for Cash</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hereof, not less than all of the outstanding Warrants may be redeemed, at the option of the Company, at any time during the Exercise Period, at the office of the Warrant Agent, upon notice to the Registered Holders of the Warrants, as described in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below, at a Redemption Price of $0.01 per Warrant, provided that (a) the Reference Value equals or exceeds $18.00 per share (subject to adjustment in compliance with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(b) there is an effective registration statement covering the issuance of the shares of Common Stock issuable upon exercise of the Warrants, and a current prospectus relating thereto, available throughout the 30-day Redemption Period (as defined in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below).</w:t>
      </w:r>
    </w:p>
    <w:p>
      <w:pPr>
        <w:spacing w:after="0" w:line="19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Redemption of Warrants for Shares of Common Stock</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hereof, not less than all of the outstanding Warrants may be redeemed, at the option of the Company, at any time during the Exercise Period, at the office of the Warrant Agent, upon notice to the Registered Holders of the Warrants, as described in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below, at a Redemption Price of $0.10 per Warrant,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Reference Value equals or exceeds $10.00 per share (subject to adjustment in compliance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During the 30-day Redemption Period in connection with a redemption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Registered Holders of the Warrants may elect to exercise their Warrants on a “cashless basis” pursuant to </w:t>
      </w:r>
      <w:r>
        <w:rPr>
          <w:rFonts w:ascii="Arial" w:cs="Arial" w:eastAsia="Arial" w:hAnsi="Arial"/>
          <w:sz w:val="16"/>
          <w:szCs w:val="16"/>
          <w:u w:val="single" w:color="auto"/>
          <w:color w:val="auto"/>
        </w:rPr>
        <w:t>subsection 3.3.1</w:t>
      </w:r>
      <w:r>
        <w:rPr>
          <w:rFonts w:ascii="Arial" w:cs="Arial" w:eastAsia="Arial" w:hAnsi="Arial"/>
          <w:sz w:val="16"/>
          <w:szCs w:val="16"/>
          <w:color w:val="auto"/>
        </w:rPr>
        <w:t xml:space="preserve"> and receive a number of shares of Common Stock determined by reference to the table below, based on the Redemption Date (calculated for purposes of the table as the period to expiration of the Warrants) and the “Redemption Fair Market Value” (as such term is defined in this </w:t>
      </w:r>
      <w:r>
        <w:rPr>
          <w:rFonts w:ascii="Arial" w:cs="Arial" w:eastAsia="Arial" w:hAnsi="Arial"/>
          <w:sz w:val="16"/>
          <w:szCs w:val="16"/>
          <w:u w:val="single" w:color="auto"/>
          <w:color w:val="auto"/>
        </w:rPr>
        <w:t>Section 6.2</w:t>
      </w:r>
      <w:r>
        <w:rPr>
          <w:rFonts w:ascii="Arial" w:cs="Arial" w:eastAsia="Arial" w:hAnsi="Arial"/>
          <w:sz w:val="16"/>
          <w:szCs w:val="16"/>
          <w:color w:val="auto"/>
        </w:rPr>
        <w:t>) (a “</w:t>
      </w:r>
      <w:r>
        <w:rPr>
          <w:rFonts w:ascii="Arial" w:cs="Arial" w:eastAsia="Arial" w:hAnsi="Arial"/>
          <w:sz w:val="16"/>
          <w:szCs w:val="16"/>
          <w:b w:val="1"/>
          <w:bCs w:val="1"/>
          <w:i w:val="1"/>
          <w:iCs w:val="1"/>
          <w:color w:val="auto"/>
        </w:rPr>
        <w:t>Make-Whole Exercise</w:t>
      </w:r>
      <w:r>
        <w:rPr>
          <w:rFonts w:ascii="Arial" w:cs="Arial" w:eastAsia="Arial" w:hAnsi="Arial"/>
          <w:sz w:val="16"/>
          <w:szCs w:val="16"/>
          <w:color w:val="auto"/>
        </w:rPr>
        <w:t xml:space="preserve">”). Solely for purposes of this </w:t>
      </w:r>
      <w:r>
        <w:rPr>
          <w:rFonts w:ascii="Arial" w:cs="Arial" w:eastAsia="Arial" w:hAnsi="Arial"/>
          <w:sz w:val="16"/>
          <w:szCs w:val="16"/>
          <w:u w:val="single" w:color="auto"/>
          <w:color w:val="auto"/>
        </w:rPr>
        <w:t>Section 6.2</w:t>
      </w:r>
      <w:r>
        <w:rPr>
          <w:rFonts w:ascii="Arial" w:cs="Arial" w:eastAsia="Arial" w:hAnsi="Arial"/>
          <w:sz w:val="16"/>
          <w:szCs w:val="16"/>
          <w:color w:val="auto"/>
        </w:rPr>
        <w:t>, the “</w:t>
      </w:r>
      <w:r>
        <w:rPr>
          <w:rFonts w:ascii="Arial" w:cs="Arial" w:eastAsia="Arial" w:hAnsi="Arial"/>
          <w:sz w:val="16"/>
          <w:szCs w:val="16"/>
          <w:b w:val="1"/>
          <w:bCs w:val="1"/>
          <w:i w:val="1"/>
          <w:iCs w:val="1"/>
          <w:color w:val="auto"/>
        </w:rPr>
        <w:t>Redemption Fair Market Value</w:t>
      </w:r>
      <w:r>
        <w:rPr>
          <w:rFonts w:ascii="Arial" w:cs="Arial" w:eastAsia="Arial" w:hAnsi="Arial"/>
          <w:sz w:val="16"/>
          <w:szCs w:val="16"/>
          <w:color w:val="auto"/>
        </w:rPr>
        <w:t xml:space="preserve">” shall mean the volume weighted average price of the shares of Common Stock for the ten (10) trading days immediately following the date on which notice of redemption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is sent to the Registered Holders. In connection with any redemption pursuant to this </w:t>
      </w:r>
      <w:r>
        <w:rPr>
          <w:rFonts w:ascii="Arial" w:cs="Arial" w:eastAsia="Arial" w:hAnsi="Arial"/>
          <w:sz w:val="16"/>
          <w:szCs w:val="16"/>
          <w:u w:val="single" w:color="auto"/>
          <w:color w:val="auto"/>
        </w:rPr>
        <w:t>Section 6.2</w:t>
      </w:r>
      <w:r>
        <w:rPr>
          <w:rFonts w:ascii="Arial" w:cs="Arial" w:eastAsia="Arial" w:hAnsi="Arial"/>
          <w:sz w:val="16"/>
          <w:szCs w:val="16"/>
          <w:color w:val="auto"/>
        </w:rPr>
        <w:t>, the Company shall provide the Registered Holders with the Redemption Fair Market Value no later than one (1) Business Day after the ten (10) trading day period described above ends.</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20" w:type="dxa"/>
            <w:vAlign w:val="bottom"/>
            <w:tcBorders>
              <w:bottom w:val="single" w:sz="8" w:color="auto"/>
            </w:tcBorders>
            <w:gridSpan w:val="14"/>
          </w:tcPr>
          <w:p>
            <w:pPr>
              <w:ind w:left="740"/>
              <w:spacing w:after="0"/>
              <w:rPr>
                <w:sz w:val="20"/>
                <w:szCs w:val="20"/>
                <w:color w:val="auto"/>
              </w:rPr>
            </w:pPr>
            <w:r>
              <w:rPr>
                <w:rFonts w:ascii="Arial" w:cs="Arial" w:eastAsia="Arial" w:hAnsi="Arial"/>
                <w:sz w:val="18"/>
                <w:szCs w:val="18"/>
                <w:b w:val="1"/>
                <w:bCs w:val="1"/>
                <w:color w:val="auto"/>
              </w:rPr>
              <w:t>Fair Market Value of Class A Common Stock (period to expiration of warrants)</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Redemption Date</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≤$10.00</w:t>
            </w: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$11.00</w:t>
            </w:r>
          </w:p>
        </w:tc>
        <w:tc>
          <w:tcPr>
            <w:tcW w:w="12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$12.00</w:t>
            </w:r>
          </w:p>
        </w:tc>
        <w:tc>
          <w:tcPr>
            <w:tcW w:w="24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$13.00</w:t>
            </w:r>
          </w:p>
        </w:tc>
        <w:tc>
          <w:tcPr>
            <w:tcW w:w="10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$14.00</w:t>
            </w:r>
          </w:p>
        </w:tc>
        <w:tc>
          <w:tcPr>
            <w:tcW w:w="10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$15.00</w:t>
            </w:r>
          </w:p>
        </w:tc>
        <w:tc>
          <w:tcPr>
            <w:tcW w:w="10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rPr>
              <w:t>$16.00</w:t>
            </w:r>
          </w:p>
        </w:tc>
        <w:tc>
          <w:tcPr>
            <w:tcW w:w="120" w:type="dxa"/>
            <w:vAlign w:val="bottom"/>
          </w:tcPr>
          <w:p>
            <w:pPr>
              <w:spacing w:after="0"/>
              <w:rPr>
                <w:sz w:val="19"/>
                <w:szCs w:val="19"/>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$17.00</w:t>
            </w:r>
          </w:p>
        </w:tc>
        <w:tc>
          <w:tcPr>
            <w:tcW w:w="10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≥$18.00</w:t>
            </w:r>
          </w:p>
        </w:tc>
        <w:tc>
          <w:tcPr>
            <w:tcW w:w="20" w:type="dxa"/>
            <w:vAlign w:val="bottom"/>
          </w:tcPr>
          <w:p>
            <w:pPr>
              <w:spacing w:after="0"/>
              <w:rPr>
                <w:sz w:val="19"/>
                <w:szCs w:val="19"/>
                <w:color w:val="auto"/>
              </w:rPr>
            </w:pPr>
          </w:p>
        </w:tc>
      </w:tr>
      <w:tr>
        <w:trPr>
          <w:trHeight w:val="209"/>
        </w:trPr>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60 months</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0.261</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0.281</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0.297</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0.311</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0.324</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0.337</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0.348</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0.358</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57 months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0.257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0.277</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0.294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0.310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0.324</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0.337</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0.348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0.358</w:t>
            </w:r>
          </w:p>
        </w:tc>
        <w:tc>
          <w:tcPr>
            <w:tcW w:w="1000" w:type="dxa"/>
            <w:vAlign w:val="bottom"/>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0.272</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0.291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0.347</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51 months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0.246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0.268</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0.287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0.304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0.320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0.333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0.346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0.357</w:t>
            </w:r>
          </w:p>
        </w:tc>
        <w:tc>
          <w:tcPr>
            <w:tcW w:w="1000" w:type="dxa"/>
            <w:vAlign w:val="bottom"/>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0.263</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0.283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0.317</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45 months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0.235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0.258</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0.279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0.298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0.315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0.330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0.343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0.356</w:t>
            </w:r>
          </w:p>
        </w:tc>
        <w:tc>
          <w:tcPr>
            <w:tcW w:w="1000" w:type="dxa"/>
            <w:vAlign w:val="bottom"/>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0.228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0.252</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0.274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39 months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0.221</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0.246</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0.269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0.290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0.309</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0.325</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0.340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0.354</w:t>
            </w:r>
          </w:p>
        </w:tc>
        <w:tc>
          <w:tcPr>
            <w:tcW w:w="1000" w:type="dxa"/>
            <w:vAlign w:val="bottom"/>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36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0.239</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0.263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0.339</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33 months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0.205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0.232</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0.257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0.280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0.301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0.320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0.337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0.352</w:t>
            </w:r>
          </w:p>
        </w:tc>
        <w:tc>
          <w:tcPr>
            <w:tcW w:w="1000" w:type="dxa"/>
            <w:vAlign w:val="bottom"/>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0.224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0.297</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0.316</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0.335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27 months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0.185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0.214</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0.242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0.268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0.291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0.313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0.332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0.350</w:t>
            </w:r>
          </w:p>
        </w:tc>
        <w:tc>
          <w:tcPr>
            <w:tcW w:w="1000" w:type="dxa"/>
            <w:vAlign w:val="bottom"/>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0.204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0.233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0.329</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21 months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0.161</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0.193</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0.223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0.252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0.279</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0.304</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0.326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0.347</w:t>
            </w:r>
          </w:p>
        </w:tc>
        <w:tc>
          <w:tcPr>
            <w:tcW w:w="1000" w:type="dxa"/>
            <w:vAlign w:val="bottom"/>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0.179</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0.211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0.322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15 months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0.130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0.164</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0.197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0.230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0.262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0.291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0.317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0.342</w:t>
            </w:r>
          </w:p>
        </w:tc>
        <w:tc>
          <w:tcPr>
            <w:tcW w:w="1000" w:type="dxa"/>
            <w:vAlign w:val="bottom"/>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0.111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0.146</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0.181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0.312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9 months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0.090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0.125</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0.162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0.199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0.237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0.272</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0.305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0.336</w:t>
            </w:r>
          </w:p>
        </w:tc>
        <w:tc>
          <w:tcPr>
            <w:tcW w:w="1000" w:type="dxa"/>
            <w:vAlign w:val="bottom"/>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0.099</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0.219</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0.296</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3 months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0.034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0.065</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0.104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0.150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0.197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0.243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0.286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0.326</w:t>
            </w:r>
          </w:p>
        </w:tc>
        <w:tc>
          <w:tcPr>
            <w:tcW w:w="1000" w:type="dxa"/>
            <w:vAlign w:val="bottom"/>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months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0.179</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exact Redemption Fair Market Value and Redemption Date may not be set forth in the table above, in which case, if the Redemption Fair Market Value is between two values in the table or the Redemption Date is between two redemption dates in the table, the number of shares of Common Stock to be issued for each Warrant exercised in a Make-Whole Exercise shall be determined by a straight-line interpolation between the number of shares set forth for the higher and lower Redemption Fair Market Values and the earlier and later redemption dates, as applicable, based on a 365- or 366-day year, as applicable.</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The share prices set forth in the column headings of the table above shall be adjusted as of any date on which the number of shares issuable upon exercise of a Warrant or the Warrant Price is adjusted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If the number of shares issuable upon exercise of a Warrant is adjusted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the adjusted share prices in the column headings shall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above shall be adjusted in the same manner and at the same time as the number of shares issuable upon exercise of a Warrant. If the Warrant Price of a warrant is adjusted,</w:t>
      </w:r>
    </w:p>
    <w:p>
      <w:pPr>
        <w:spacing w:after="0" w:line="4" w:lineRule="exact"/>
        <w:rPr>
          <w:sz w:val="20"/>
          <w:szCs w:val="20"/>
          <w:color w:val="auto"/>
        </w:rPr>
      </w:pPr>
    </w:p>
    <w:p>
      <w:pPr>
        <w:jc w:val="both"/>
        <w:ind w:firstLine="8"/>
        <w:spacing w:after="0" w:line="292" w:lineRule="auto"/>
        <w:tabs>
          <w:tab w:leader="none" w:pos="255"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in the case of an adjustment pursuant to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hereof, the adjusted share prices in the column headings shall equal the share prices immediately prior to such adjustment multiplied by a fraction, the numerator of which is the higher of the Market Value and the Newly Issued Price and the denominator of which is $10.00 and (b) in the case of an adjustment pursuant to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hereof, the adjusted share prices in the column headings shall equal the share prices immediately prior to such adjustment less the decrease in the Warrant Price pursuant to such Warrant Price adjustment. In no event shall the number of shares issued in connection with a Make-Whole Exercise exceed 0.361 shares of Common Stock per Warrant (subject to adjustment)</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73" w:name="page74"/>
    <w:bookmarkEnd w:id="73"/>
    <w:p>
      <w:pPr>
        <w:jc w:val="both"/>
        <w:ind w:firstLine="1296"/>
        <w:spacing w:after="0" w:line="28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Date Fixed for, and Notice of, Redemption; Redemption Price; Reference Value</w:t>
      </w:r>
      <w:r>
        <w:rPr>
          <w:rFonts w:ascii="Arial" w:cs="Arial" w:eastAsia="Arial" w:hAnsi="Arial"/>
          <w:sz w:val="16"/>
          <w:szCs w:val="16"/>
          <w:color w:val="auto"/>
        </w:rPr>
        <w:t xml:space="preserve">. In the event that the Company elects to redeem the Warrants pursuant to </w:t>
      </w:r>
      <w:r>
        <w:rPr>
          <w:rFonts w:ascii="Arial" w:cs="Arial" w:eastAsia="Arial" w:hAnsi="Arial"/>
          <w:sz w:val="16"/>
          <w:szCs w:val="16"/>
          <w:u w:val="single" w:color="auto"/>
          <w:color w:val="auto"/>
        </w:rPr>
        <w:t>Sections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w:t>
      </w:r>
      <w:r>
        <w:rPr>
          <w:rFonts w:ascii="Arial" w:cs="Arial" w:eastAsia="Arial" w:hAnsi="Arial"/>
          <w:sz w:val="16"/>
          <w:szCs w:val="16"/>
          <w:color w:val="auto"/>
        </w:rPr>
        <w:t>, the Company shall fix a date for the redemption (the “</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Notice of redemption shall be mailed by first class mail, postage prepaid, by the Company not less than thirty (30) days prior to the Redemption Date (the “</w:t>
      </w:r>
      <w:r>
        <w:rPr>
          <w:rFonts w:ascii="Arial" w:cs="Arial" w:eastAsia="Arial" w:hAnsi="Arial"/>
          <w:sz w:val="16"/>
          <w:szCs w:val="16"/>
          <w:b w:val="1"/>
          <w:bCs w:val="1"/>
          <w:i w:val="1"/>
          <w:iCs w:val="1"/>
          <w:color w:val="auto"/>
        </w:rPr>
        <w:t>30-day Redemption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Period</w:t>
      </w:r>
      <w:r>
        <w:rPr>
          <w:rFonts w:ascii="Arial" w:cs="Arial" w:eastAsia="Arial" w:hAnsi="Arial"/>
          <w:sz w:val="16"/>
          <w:szCs w:val="16"/>
          <w:color w:val="auto"/>
        </w:rPr>
        <w:t>”) to the Registered Holders of the Warrants to be redeemed at their last addresses as they shall appear on the registration books. Any notice mailed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manner herein provided shall be conclusively presumed to have been duly given whether or not the Registered Holder received such notice. As used in this Agreement, (a) “</w:t>
      </w:r>
      <w:r>
        <w:rPr>
          <w:rFonts w:ascii="Arial" w:cs="Arial" w:eastAsia="Arial" w:hAnsi="Arial"/>
          <w:sz w:val="16"/>
          <w:szCs w:val="16"/>
          <w:b w:val="1"/>
          <w:bCs w:val="1"/>
          <w:i w:val="1"/>
          <w:iCs w:val="1"/>
          <w:color w:val="auto"/>
        </w:rPr>
        <w:t>Redemption Price</w:t>
      </w:r>
      <w:r>
        <w:rPr>
          <w:rFonts w:ascii="Arial" w:cs="Arial" w:eastAsia="Arial" w:hAnsi="Arial"/>
          <w:sz w:val="16"/>
          <w:szCs w:val="16"/>
          <w:color w:val="auto"/>
        </w:rPr>
        <w:t xml:space="preserve">” shall mean the price per Warrant at which any Warrants are redeemed pursuant to </w:t>
      </w:r>
      <w:r>
        <w:rPr>
          <w:rFonts w:ascii="Arial" w:cs="Arial" w:eastAsia="Arial" w:hAnsi="Arial"/>
          <w:sz w:val="16"/>
          <w:szCs w:val="16"/>
          <w:u w:val="single" w:color="auto"/>
          <w:color w:val="auto"/>
        </w:rPr>
        <w:t>Sections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and</w:t>
      </w:r>
    </w:p>
    <w:p>
      <w:pPr>
        <w:spacing w:after="0" w:line="4" w:lineRule="exact"/>
        <w:rPr>
          <w:sz w:val="20"/>
          <w:szCs w:val="20"/>
          <w:color w:val="auto"/>
        </w:rPr>
      </w:pPr>
    </w:p>
    <w:p>
      <w:pPr>
        <w:ind w:firstLine="8"/>
        <w:spacing w:after="0" w:line="260" w:lineRule="auto"/>
        <w:tabs>
          <w:tab w:leader="none" w:pos="268"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Value</w:t>
      </w:r>
      <w:r>
        <w:rPr>
          <w:rFonts w:ascii="Arial" w:cs="Arial" w:eastAsia="Arial" w:hAnsi="Arial"/>
          <w:sz w:val="18"/>
          <w:szCs w:val="18"/>
          <w:color w:val="auto"/>
        </w:rPr>
        <w:t>” shall mean the last reported sales price of the shares of Common Stock for any twenty (20) trading days within the thirty (30) trading-day period ending on the third trading day prior to the date on which notice of the redemption is given.</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Exercise After Notice of Redemption</w:t>
      </w:r>
      <w:r>
        <w:rPr>
          <w:rFonts w:ascii="Arial" w:cs="Arial" w:eastAsia="Arial" w:hAnsi="Arial"/>
          <w:sz w:val="18"/>
          <w:szCs w:val="18"/>
          <w:color w:val="auto"/>
        </w:rPr>
        <w:t xml:space="preserve">. The Warrants may be exercised, for cash (or on a “cashless basis” in accordance with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of this Agreement) at any time after notice of redemption shall have been given by the Company pursuant to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hereof and prior to the Redemption Date. On and after the Redemption Date, the record holder of the Warrants shall have no further rights except to receive, upon surrender of the Warrants, the Redemption Price.</w:t>
      </w:r>
    </w:p>
    <w:p>
      <w:pPr>
        <w:spacing w:after="0" w:line="18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Exclusion of Private Placement Warrants</w:t>
      </w:r>
      <w:r>
        <w:rPr>
          <w:rFonts w:ascii="Arial" w:cs="Arial" w:eastAsia="Arial" w:hAnsi="Arial"/>
          <w:sz w:val="16"/>
          <w:szCs w:val="16"/>
          <w:color w:val="auto"/>
        </w:rPr>
        <w:t xml:space="preserve">. The Company agrees that (a) the redemption rights provided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hereof shall not apply to the Private Placement Warrants, the Working Capital Warrants or the Post-IPO Warrants (if such Post-IPO Warrants provide that they are non-redeemable by the Company) if at the time of the redemption such Private Placement Warrants, the Working Capital Warrants or the Post-IPO Warrants continue to be held by the Sponsor or its Permitted Transferees, as applicable. However, once such Private Placement Warrants, the Working Capital Warrants or the Post-IPO Warrants are transferred (other than to Permitted Transferees in accordance with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hereof), the Company may redeem the Private Placement Warrants, the Working Capital Warrants or the Post-IPO Warrants (if the Post-IPO Warrants permit such redemption by their terms)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hereof, provided that the criteria for redemption are met, including the opportunity of the holder of such Private Placement Warrants, Working Capital Warrants or Post-IPO Warrants to exercise the Private Placement Warrants, the Working Capital Warrants or the Post-IPO Warrants prior to redemption pursuant to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hereof. The Private Placement Warrants, Working Capital Warrants and Post-IPO Warrants (if such Post-IPO Warrants provide that they are non-redeemable by the Company) that are transferred to persons other than Permitted Transferees shall upon such transfer cease to be Private Placement Warrants, Working Capital Warrants and Post-IPO Warrants and shall become Public Warrants under this Agreement, including for purposes of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hereof.</w:t>
      </w:r>
    </w:p>
    <w:p>
      <w:pPr>
        <w:spacing w:after="0" w:line="168" w:lineRule="exact"/>
        <w:rPr>
          <w:sz w:val="20"/>
          <w:szCs w:val="20"/>
          <w:color w:val="auto"/>
        </w:rPr>
      </w:pPr>
    </w:p>
    <w:p>
      <w:pPr>
        <w:ind w:left="1380" w:hanging="724"/>
        <w:spacing w:after="0"/>
        <w:tabs>
          <w:tab w:leader="none" w:pos="13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1296"/>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Reservation of Common Stock</w:t>
      </w:r>
      <w:r>
        <w:rPr>
          <w:rFonts w:ascii="Arial" w:cs="Arial" w:eastAsia="Arial" w:hAnsi="Arial"/>
          <w:sz w:val="17"/>
          <w:szCs w:val="17"/>
          <w:color w:val="auto"/>
        </w:rPr>
        <w:t>. The Company shall at all times reserve and keep available a number of its authorized but unissued shares of Common Stock that shall be sufficient to permit the exercise in full of all outstanding Warrants issued pursuant to this Agreement.</w:t>
      </w:r>
    </w:p>
    <w:p>
      <w:pPr>
        <w:spacing w:after="0" w:line="146"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Registration of Common Stock; Cashless Exercise at Company’s Option</w:t>
      </w:r>
      <w:r>
        <w:rPr>
          <w:rFonts w:ascii="Arial" w:cs="Arial" w:eastAsia="Arial" w:hAnsi="Arial"/>
          <w:sz w:val="16"/>
          <w:szCs w:val="16"/>
          <w:color w:val="auto"/>
        </w:rPr>
        <w:t>.</w:t>
      </w:r>
    </w:p>
    <w:p>
      <w:pPr>
        <w:spacing w:after="0" w:line="225" w:lineRule="exact"/>
        <w:rPr>
          <w:sz w:val="20"/>
          <w:szCs w:val="20"/>
          <w:color w:val="auto"/>
        </w:rPr>
      </w:pPr>
    </w:p>
    <w:p>
      <w:pPr>
        <w:jc w:val="both"/>
        <w:ind w:firstLine="1944"/>
        <w:spacing w:after="0" w:line="267" w:lineRule="auto"/>
        <w:rPr>
          <w:sz w:val="20"/>
          <w:szCs w:val="20"/>
          <w:color w:val="auto"/>
        </w:rPr>
      </w:pPr>
      <w:r>
        <w:rPr>
          <w:rFonts w:ascii="Arial" w:cs="Arial" w:eastAsia="Arial" w:hAnsi="Arial"/>
          <w:sz w:val="17"/>
          <w:szCs w:val="17"/>
          <w:color w:val="auto"/>
        </w:rPr>
        <w:t xml:space="preserve">7.4.1. </w:t>
      </w:r>
      <w:r>
        <w:rPr>
          <w:rFonts w:ascii="Arial" w:cs="Arial" w:eastAsia="Arial" w:hAnsi="Arial"/>
          <w:sz w:val="17"/>
          <w:szCs w:val="17"/>
          <w:u w:val="single" w:color="auto"/>
          <w:color w:val="auto"/>
        </w:rPr>
        <w:t>Registration of the Common Stock</w:t>
      </w:r>
      <w:r>
        <w:rPr>
          <w:rFonts w:ascii="Arial" w:cs="Arial" w:eastAsia="Arial" w:hAnsi="Arial"/>
          <w:sz w:val="17"/>
          <w:szCs w:val="17"/>
          <w:color w:val="auto"/>
        </w:rPr>
        <w:t xml:space="preserve">. The Company agrees that as soon as practicable, but in no event later than fifteen (15) Business Days after the closing of its initial Business Combination, it shall use its best efforts to file with the Commission a registration statement or post-effective amendment to an existing registration statement for the registration, under the Securities Act, of the shares of Common Stock issuable upon exercise of the Warrants. The Company shall use its best efforts to cause the same to become effective and to maintain the effectiveness of such registration statement, and a current prospectus relating thereto, until the expiration of the Warrants in accordance with the provisions of this Agreement. If any such registration statement has not been declared effective by the sixtieth (60th) Business Day following the closing of the Business Combination, holders of the Warrants shall have the right, during the period beginning on the sixty-first (61st) Business Day after the closing of the Business Combination and ending upon such registration statement being declared effective by the Commission, and during any other period when the Company shall fail to have maintained an effective registration statement covering the shares of Common Stock issuable upon exercise of the Warrants, to exercise such Warrants on a “cashless basis,” by exchanging the Warrants (in accordance with Section 3(a)(9) of the Securities Act or another exemption) for that number of shares of Common Stock equal to the lesser of (A) the quotient obtained by dividing (x) the product of the number of shares of Common Stock underlying the Warrants, multiplied by the excess of the “Fair Market Value” (as defined below) over the Warrant Price by (y) the Fair Market Value and (B) 0.361 per Warrant. Solely for purposes of this </w:t>
      </w:r>
      <w:r>
        <w:rPr>
          <w:rFonts w:ascii="Arial" w:cs="Arial" w:eastAsia="Arial" w:hAnsi="Arial"/>
          <w:sz w:val="17"/>
          <w:szCs w:val="17"/>
          <w:u w:val="single" w:color="auto"/>
          <w:color w:val="auto"/>
        </w:rPr>
        <w:t>subsection 7.4.1</w:t>
      </w:r>
      <w:r>
        <w:rPr>
          <w:rFonts w:ascii="Arial" w:cs="Arial" w:eastAsia="Arial" w:hAnsi="Arial"/>
          <w:sz w:val="17"/>
          <w:szCs w:val="17"/>
          <w:color w:val="auto"/>
        </w:rPr>
        <w:t>,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shall mean the volume-weighted average price of the Common Stock as reported during the ten (10) trading day period ending on the trading day prior to the date that notice of exercise is received by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Arial" w:cs="Arial" w:eastAsia="Arial" w:hAnsi="Arial"/>
          <w:sz w:val="17"/>
          <w:szCs w:val="17"/>
          <w:u w:val="single" w:color="auto"/>
          <w:color w:val="auto"/>
        </w:rPr>
        <w:t>subsection 7.4.1</w:t>
      </w:r>
      <w:r>
        <w:rPr>
          <w:rFonts w:ascii="Arial" w:cs="Arial" w:eastAsia="Arial" w:hAnsi="Arial"/>
          <w:sz w:val="17"/>
          <w:szCs w:val="17"/>
          <w:color w:val="auto"/>
        </w:rPr>
        <w:t xml:space="preserve"> is not required to be registered under the Securities Act and (ii) the shares of Common Stock issued upon such exercise shall be freely tradable under United States federal securities laws by anyone who is not an affiliate (as such term is defined in Rule 144 (or any successor rule) under the Securities Act) of the Company and, accordingly, shall not be required to bear a restrictive legend. Except as provided in </w:t>
      </w:r>
      <w:r>
        <w:rPr>
          <w:rFonts w:ascii="Arial" w:cs="Arial" w:eastAsia="Arial" w:hAnsi="Arial"/>
          <w:sz w:val="17"/>
          <w:szCs w:val="17"/>
          <w:u w:val="single" w:color="auto"/>
          <w:color w:val="auto"/>
        </w:rPr>
        <w:t>subsection 7.4.2</w:t>
      </w:r>
      <w:r>
        <w:rPr>
          <w:rFonts w:ascii="Arial" w:cs="Arial" w:eastAsia="Arial" w:hAnsi="Arial"/>
          <w:sz w:val="17"/>
          <w:szCs w:val="17"/>
          <w:color w:val="auto"/>
        </w:rPr>
        <w:t xml:space="preserve">, for the avoidance of any doubt, unless and until all of the Warrants have been exercised or have expired, the Company shall continue to be obligated to comply with its registration obligations under the first three sentences of this </w:t>
      </w:r>
      <w:r>
        <w:rPr>
          <w:rFonts w:ascii="Arial" w:cs="Arial" w:eastAsia="Arial" w:hAnsi="Arial"/>
          <w:sz w:val="17"/>
          <w:szCs w:val="17"/>
          <w:u w:val="single" w:color="auto"/>
          <w:color w:val="auto"/>
        </w:rPr>
        <w:t>subsection 7.4.1</w:t>
      </w:r>
      <w:r>
        <w:rPr>
          <w:rFonts w:ascii="Arial" w:cs="Arial" w:eastAsia="Arial" w:hAnsi="Arial"/>
          <w:sz w:val="17"/>
          <w:szCs w:val="17"/>
          <w:color w:val="auto"/>
        </w:rPr>
        <w:t>.</w:t>
      </w:r>
    </w:p>
    <w:p>
      <w:pPr>
        <w:spacing w:after="0" w:line="182"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6"/>
          <w:szCs w:val="16"/>
          <w:color w:val="auto"/>
        </w:rPr>
        <w:t xml:space="preserve">7.4.2. </w:t>
      </w:r>
      <w:r>
        <w:rPr>
          <w:rFonts w:ascii="Arial" w:cs="Arial" w:eastAsia="Arial" w:hAnsi="Arial"/>
          <w:sz w:val="16"/>
          <w:szCs w:val="16"/>
          <w:u w:val="single" w:color="auto"/>
          <w:color w:val="auto"/>
        </w:rPr>
        <w:t>Cashless Exercise at Company’s Option</w:t>
      </w:r>
      <w:r>
        <w:rPr>
          <w:rFonts w:ascii="Arial" w:cs="Arial" w:eastAsia="Arial" w:hAnsi="Arial"/>
          <w:sz w:val="16"/>
          <w:szCs w:val="16"/>
          <w:color w:val="auto"/>
        </w:rPr>
        <w:t xml:space="preserve">. If the Common Stock is at the time of any exercise of a Public Warrant not listed on a national securities exchange such that they satisfy the definition of a “covered security” under Section 18(b)(1) of the Securities Act, the Company may, at its option, (i) require holders of Public Warrants who exercise Public Warrants to exercise such Public Warrants on a “cashless basis” in accordance with Section 3(a)(9) of the Securities Act as described in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and (ii) in the event the Company so elects, the Company shall</w:t>
      </w:r>
    </w:p>
    <w:p>
      <w:pPr>
        <w:spacing w:after="0" w:line="1" w:lineRule="exact"/>
        <w:rPr>
          <w:sz w:val="20"/>
          <w:szCs w:val="20"/>
          <w:color w:val="auto"/>
        </w:rPr>
      </w:pPr>
    </w:p>
    <w:p>
      <w:pPr>
        <w:jc w:val="both"/>
        <w:ind w:firstLine="8"/>
        <w:spacing w:after="0" w:line="302" w:lineRule="auto"/>
        <w:tabs>
          <w:tab w:leader="none" w:pos="266"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not be required to file or maintain in effect a registration statement for the registration, under the Securities Act, of the Common Stock issuable upon exercise of the Warrants, notwithstanding anything in this Agreement to the contrary, and (y) use its commercially reasonable to register or qualify for sale the Common Stock issuable upon exercise of the Public Warrant under applicable blue sky laws to the extent an exemption is not available.</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ind w:left="1340" w:hanging="684"/>
        <w:spacing w:after="0"/>
        <w:tabs>
          <w:tab w:leader="none" w:pos="134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shall from time to time promptly pay all taxes and charges that may be imposed upon the Company or the Warrant Agent in respect of the issuance or delivery of shares of Common Stock upon the exercise of the Warrants, but the Company shall not be obligated to pay any transfer taxes in respect of the Warrants or such shares of Common Stock.</w:t>
      </w:r>
    </w:p>
    <w:p>
      <w:pPr>
        <w:spacing w:after="0" w:line="18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Resignation, Consolidation or Merger of Warrant Agent</w:t>
      </w:r>
      <w:r>
        <w:rPr>
          <w:rFonts w:ascii="Arial" w:cs="Arial" w:eastAsia="Arial" w:hAnsi="Arial"/>
          <w:sz w:val="16"/>
          <w:szCs w:val="16"/>
          <w:color w:val="auto"/>
        </w:rPr>
        <w:t>.</w:t>
      </w:r>
    </w:p>
    <w:p>
      <w:pPr>
        <w:spacing w:after="0" w:line="225" w:lineRule="exact"/>
        <w:rPr>
          <w:sz w:val="20"/>
          <w:szCs w:val="20"/>
          <w:color w:val="auto"/>
        </w:rPr>
      </w:pPr>
    </w:p>
    <w:p>
      <w:pPr>
        <w:jc w:val="both"/>
        <w:ind w:firstLine="1944"/>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 other entity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7"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u w:val="single" w:color="auto"/>
          <w:color w:val="auto"/>
        </w:rPr>
        <w:t>Notice of Successor Warrant Agent</w:t>
      </w:r>
      <w:r>
        <w:rPr>
          <w:rFonts w:ascii="Arial" w:cs="Arial" w:eastAsia="Arial" w:hAnsi="Arial"/>
          <w:sz w:val="18"/>
          <w:szCs w:val="18"/>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84"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entity into which the Warrant Agent may be merged or with which it may be consolidated or any entity resulting from any merger or consolidation to which the Warrant Agent shall be a party shall be the successor Warrant Agent under this Agreement without any further act.</w:t>
      </w:r>
    </w:p>
    <w:p>
      <w:pPr>
        <w:spacing w:after="0" w:line="184"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Fees and Expenses of Warrant Agent</w:t>
      </w:r>
      <w:r>
        <w:rPr>
          <w:rFonts w:ascii="Arial" w:cs="Arial" w:eastAsia="Arial" w:hAnsi="Arial"/>
          <w:sz w:val="16"/>
          <w:szCs w:val="16"/>
          <w:color w:val="auto"/>
        </w:rPr>
        <w:t>.</w:t>
      </w:r>
    </w:p>
    <w:p>
      <w:pPr>
        <w:spacing w:after="0" w:line="225" w:lineRule="exact"/>
        <w:rPr>
          <w:sz w:val="20"/>
          <w:szCs w:val="20"/>
          <w:color w:val="auto"/>
        </w:rPr>
      </w:pPr>
    </w:p>
    <w:p>
      <w:pPr>
        <w:jc w:val="both"/>
        <w:ind w:firstLine="1944"/>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both"/>
        <w:ind w:firstLine="1944"/>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84"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Liability of Warrant Agent</w:t>
      </w:r>
      <w:r>
        <w:rPr>
          <w:rFonts w:ascii="Arial" w:cs="Arial" w:eastAsia="Arial" w:hAnsi="Arial"/>
          <w:sz w:val="17"/>
          <w:szCs w:val="17"/>
          <w:color w:val="auto"/>
        </w:rPr>
        <w:t>.</w:t>
      </w:r>
    </w:p>
    <w:p>
      <w:pPr>
        <w:spacing w:after="0" w:line="225" w:lineRule="exact"/>
        <w:rPr>
          <w:sz w:val="20"/>
          <w:szCs w:val="20"/>
          <w:color w:val="auto"/>
        </w:rPr>
      </w:pPr>
    </w:p>
    <w:p>
      <w:pPr>
        <w:jc w:val="both"/>
        <w:ind w:firstLine="1944"/>
        <w:spacing w:after="0" w:line="275" w:lineRule="auto"/>
        <w:rPr>
          <w:sz w:val="20"/>
          <w:szCs w:val="20"/>
          <w:color w:val="auto"/>
        </w:rPr>
      </w:pPr>
      <w:r>
        <w:rPr>
          <w:rFonts w:ascii="Arial" w:cs="Arial" w:eastAsia="Arial" w:hAnsi="Arial"/>
          <w:sz w:val="17"/>
          <w:szCs w:val="17"/>
          <w:color w:val="auto"/>
        </w:rPr>
        <w:t xml:space="preserve">8.4.1. </w:t>
      </w:r>
      <w:r>
        <w:rPr>
          <w:rFonts w:ascii="Arial" w:cs="Arial" w:eastAsia="Arial" w:hAnsi="Arial"/>
          <w:sz w:val="17"/>
          <w:szCs w:val="17"/>
          <w:u w:val="single" w:color="auto"/>
          <w:color w:val="auto"/>
        </w:rPr>
        <w:t>Reliance on Company Statement</w:t>
      </w:r>
      <w:r>
        <w:rPr>
          <w:rFonts w:ascii="Arial" w:cs="Arial" w:eastAsia="Arial" w:hAnsi="Arial"/>
          <w:sz w:val="17"/>
          <w:szCs w:val="17"/>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or Chairman of the Board of the Company and delivered to the Warrant Agent. The Warrant Agent may rely upon such statement for any action taken or suffered in good faith by it pursuant to the provisions of this Agreement.</w:t>
      </w:r>
    </w:p>
    <w:p>
      <w:pPr>
        <w:spacing w:after="0" w:line="176" w:lineRule="exact"/>
        <w:rPr>
          <w:sz w:val="20"/>
          <w:szCs w:val="20"/>
          <w:color w:val="auto"/>
        </w:rPr>
      </w:pPr>
    </w:p>
    <w:p>
      <w:pPr>
        <w:jc w:val="both"/>
        <w:ind w:firstLine="1944"/>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fraud or bad faith. The Company agrees to indemnify the Warrant Agent and save it harmless against any and all liabilities, including judgments, out-of-pocket costs and reasonable outside counsel fees, for anything done or omitted by the Warrant Agent in the execution of this Agreement, except as a result of the Warrant Agent’s gross negligence, willful misconduct, fraud or bad faith.</w:t>
      </w:r>
    </w:p>
    <w:p>
      <w:pPr>
        <w:spacing w:after="0" w:line="187" w:lineRule="exact"/>
        <w:rPr>
          <w:sz w:val="20"/>
          <w:szCs w:val="20"/>
          <w:color w:val="auto"/>
        </w:rPr>
      </w:pPr>
    </w:p>
    <w:p>
      <w:pPr>
        <w:jc w:val="both"/>
        <w:ind w:firstLine="1944"/>
        <w:spacing w:after="0" w:line="272" w:lineRule="auto"/>
        <w:rPr>
          <w:sz w:val="20"/>
          <w:szCs w:val="20"/>
          <w:color w:val="auto"/>
        </w:rPr>
      </w:pPr>
      <w:r>
        <w:rPr>
          <w:rFonts w:ascii="Arial" w:cs="Arial" w:eastAsia="Arial" w:hAnsi="Arial"/>
          <w:sz w:val="17"/>
          <w:szCs w:val="17"/>
          <w:color w:val="auto"/>
        </w:rPr>
        <w:t xml:space="preserve">8.4.3. </w:t>
      </w:r>
      <w:r>
        <w:rPr>
          <w:rFonts w:ascii="Arial" w:cs="Arial" w:eastAsia="Arial" w:hAnsi="Arial"/>
          <w:sz w:val="17"/>
          <w:szCs w:val="17"/>
          <w:u w:val="single" w:color="auto"/>
          <w:color w:val="auto"/>
        </w:rPr>
        <w:t>Exclusions</w:t>
      </w:r>
      <w:r>
        <w:rPr>
          <w:rFonts w:ascii="Arial" w:cs="Arial" w:eastAsia="Arial" w:hAnsi="Arial"/>
          <w:sz w:val="17"/>
          <w:szCs w:val="17"/>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shall, when issued, be valid and fully paid and nonassessable.</w:t>
      </w:r>
    </w:p>
    <w:p>
      <w:pPr>
        <w:spacing w:after="0" w:line="17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shares of Common Stock through the exercise of the Warrants.</w:t>
      </w:r>
    </w:p>
    <w:p>
      <w:pPr>
        <w:spacing w:after="0" w:line="18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has no right of set-off or any other right, title, interest or claim of any kind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Continental Stock Transfer &amp; Trust Company as trustee thereunder) and hereby agrees not to seek recourse, reimbursement, payment or satisfaction for any Claim against the Trust Account for any reason whatsoever. The Warrant Agent hereby waives any and all Claims against the Trust Account and any and all rights to seek access to the Trust Account.</w:t>
      </w:r>
    </w:p>
    <w:p>
      <w:pPr>
        <w:spacing w:after="0" w:line="188" w:lineRule="exact"/>
        <w:rPr>
          <w:sz w:val="20"/>
          <w:szCs w:val="20"/>
          <w:color w:val="auto"/>
        </w:rPr>
      </w:pPr>
    </w:p>
    <w:p>
      <w:pPr>
        <w:ind w:left="1380" w:hanging="724"/>
        <w:spacing w:after="0"/>
        <w:tabs>
          <w:tab w:leader="none" w:pos="13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Warrant Agent shall bind and inure to the benefit of their respective successors and assigns.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7" w:name="page78"/>
    <w:bookmarkEnd w:id="77"/>
    <w:p>
      <w:pPr>
        <w:jc w:val="both"/>
        <w:ind w:firstLine="129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AMCI Acquisition Corp. II</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600 Steamboat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Nimesh Patel, Chief Executive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npatel@amcigroup.com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Elliott M. Smith,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elliott.smith@whitecase.com</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w:t>
      </w:r>
    </w:p>
    <w:p>
      <w:pPr>
        <w:ind w:firstLine="8"/>
        <w:spacing w:after="0" w:line="260" w:lineRule="auto"/>
        <w:tabs>
          <w:tab w:leader="none" w:pos="274" w:val="left"/>
        </w:tabs>
        <w:numPr>
          <w:ilvl w:val="0"/>
          <w:numId w:val="73"/>
        </w:numPr>
        <w:rPr>
          <w:rFonts w:ascii="Arial" w:cs="Arial" w:eastAsia="Arial" w:hAnsi="Arial"/>
          <w:sz w:val="18"/>
          <w:szCs w:val="18"/>
          <w:color w:val="auto"/>
        </w:rPr>
      </w:pPr>
      <w:r>
        <w:rPr>
          <w:rFonts w:ascii="Arial" w:cs="Arial" w:eastAsia="Arial" w:hAnsi="Arial"/>
          <w:sz w:val="18"/>
          <w:szCs w:val="18"/>
          <w:color w:val="auto"/>
        </w:rPr>
        <w:t>days after deposit of such notice, postage prepaid, addressed (until another address is filed in writing by the Warrant Agent with the Company), as follows: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State Street, 30th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Compliance Department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Elliott M. Smith,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elliott.smith@whitecase.com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Andrew J. Pitts and Nicholas A. Dorsey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APitts@cravath.com and NDorsey@cravath.com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both"/>
        <w:ind w:firstLine="1296"/>
        <w:spacing w:after="0" w:line="286"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Applicable Law and Exclusive Forum</w:t>
      </w:r>
      <w:r>
        <w:rPr>
          <w:rFonts w:ascii="Arial" w:cs="Arial" w:eastAsia="Arial" w:hAnsi="Arial"/>
          <w:sz w:val="16"/>
          <w:szCs w:val="16"/>
          <w:color w:val="auto"/>
        </w:rPr>
        <w:t xml:space="preserve">. The validity, interpretation, and performance of this Agreement and of the Warrants, and all matters arising therefrom or relating thereto, shall be governed in all respects by the laws of the State of New York.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the Warrants shall be deemed to have notice of and to have consented to the forum provisions in this </w:t>
      </w:r>
      <w:r>
        <w:rPr>
          <w:rFonts w:ascii="Arial" w:cs="Arial" w:eastAsia="Arial" w:hAnsi="Arial"/>
          <w:sz w:val="16"/>
          <w:szCs w:val="16"/>
          <w:u w:val="single" w:color="auto"/>
          <w:color w:val="auto"/>
        </w:rPr>
        <w:t>Section 9.3</w:t>
      </w:r>
      <w:r>
        <w:rPr>
          <w:rFonts w:ascii="Arial" w:cs="Arial" w:eastAsia="Arial" w:hAnsi="Arial"/>
          <w:sz w:val="16"/>
          <w:szCs w:val="16"/>
          <w:color w:val="auto"/>
        </w:rPr>
        <w:t>. If any action, the subject matter of which is within the scope the forum provisions above, is filed in a court other than a court located within the State of New York or the United States District Court for the Southern District of New York (a “foreign action”)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Arial" w:cs="Arial" w:eastAsia="Arial" w:hAnsi="Arial"/>
          <w:sz w:val="16"/>
          <w:szCs w:val="16"/>
          <w:b w:val="1"/>
          <w:bCs w:val="1"/>
          <w:i w:val="1"/>
          <w:iCs w:val="1"/>
          <w:color w:val="auto"/>
        </w:rPr>
        <w:t>enforcement action</w:t>
      </w:r>
      <w:r>
        <w:rPr>
          <w:rFonts w:ascii="Arial" w:cs="Arial" w:eastAsia="Arial" w:hAnsi="Arial"/>
          <w:sz w:val="16"/>
          <w:szCs w:val="16"/>
          <w:color w:val="auto"/>
        </w:rPr>
        <w:t>”), and (y) having service of process made upon such warrant holder in any such enforcement action by service upon such warrant holder's counsel in the foreign action as agent for such warrant holder.</w:t>
      </w:r>
    </w:p>
    <w:p>
      <w:pPr>
        <w:spacing w:after="0" w:line="17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Persons Having Rights under this Agreement</w:t>
      </w:r>
      <w:r>
        <w:rPr>
          <w:rFonts w:ascii="Arial" w:cs="Arial" w:eastAsia="Arial" w:hAnsi="Arial"/>
          <w:sz w:val="18"/>
          <w:szCs w:val="18"/>
          <w:color w:val="auto"/>
        </w:rPr>
        <w:t>. Nothing in this Agreement shall be construed to confer upon, or give to, any person, corporation or other entity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Agreement shall be available at all reasonable times at the office of the Warrant Agent in the Borough of Manhattan, City and State of New York, for inspection by the Registered Holder of any Warrant. The Warrant Agent may require any such holder to submit such holder’s Warrant for inspection by the Warrant Agent.</w:t>
      </w:r>
    </w:p>
    <w:p>
      <w:pPr>
        <w:spacing w:after="0" w:line="18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17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This Agreement may be amended by the parties hereto without the consent of any Registered Holder for the purpose of (i) curing any ambiguity or to correct any defective provision or mistake, including to conform the provisions hereof to the description of the terms of the Warrants and this Agreement set forth in the Prospectus, (ii) amending the definition of “Ordinary Cash Dividend” as contemplated by and in accordance with the second sentence of </w:t>
      </w:r>
      <w:r>
        <w:rPr>
          <w:rFonts w:ascii="Arial" w:cs="Arial" w:eastAsia="Arial" w:hAnsi="Arial"/>
          <w:sz w:val="17"/>
          <w:szCs w:val="17"/>
          <w:u w:val="single" w:color="auto"/>
          <w:color w:val="auto"/>
        </w:rPr>
        <w:t>subsection 4.1.2</w:t>
      </w:r>
      <w:r>
        <w:rPr>
          <w:rFonts w:ascii="Arial" w:cs="Arial" w:eastAsia="Arial" w:hAnsi="Arial"/>
          <w:sz w:val="17"/>
          <w:szCs w:val="17"/>
          <w:color w:val="auto"/>
        </w:rPr>
        <w:t xml:space="preserve"> or (iii) adding or changing any provisions with respect to matters or questions arising under this Agreement as the parties may deem necessary or desirable and that the parties deem shall not adversely affect the rights of the Registered Holders under this Agreement. All other modifications or amendments, including any modification or amendment to increase the Warrant Price or shorten the Exercise Period and any amendment to the terms of only the Private Placement Warrants, shall require the vote or written consent of the Registered Holders of 50% of the then-outstanding Public Warrants and, solely with respect to any amendment to the terms of the Private Placement Warrants or any provision of this Agreement with respect to the Private Placement Warrants, 50% of the then-outstanding Private Placement Warrants. Notwithstanding the foregoing, the Company may lower the Warrant Price or extend the duration of the Exercise Period pursuant to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w:t>
      </w:r>
      <w:r>
        <w:rPr>
          <w:rFonts w:ascii="Arial" w:cs="Arial" w:eastAsia="Arial" w:hAnsi="Arial"/>
          <w:sz w:val="17"/>
          <w:szCs w:val="17"/>
          <w:color w:val="auto"/>
        </w:rPr>
        <w:t>, respectively, without the consent of the Registered Holders.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1296"/>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AMCI ACQUISITION CORP. II</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Nimesh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Nimesh Patel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CONTINENTAL STOCK TRANSFER &amp; TRUST COMPANY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Warrant Agent</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Ana Gois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Ana Gois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Warrant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20"/>
          </w:cols>
          <w:pgMar w:left="320" w:top="908" w:right="13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WARRANT SHALL BE VOID IF NOT EXERCISED PRIOR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EXPIRATION OF THE EXERCISE PERIOD PROVIDED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THE WARRANT AGREEMENT DESCRIBED BELOW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AMCI Acquisition Corp.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Under the Laws of the State of Delaware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This Warrant Certificate certifies that </w:t>
      </w:r>
      <w:r>
        <w:rPr>
          <w:rFonts w:ascii="Arial" w:cs="Arial" w:eastAsia="Arial" w:hAnsi="Arial"/>
          <w:sz w:val="17"/>
          <w:szCs w:val="17"/>
          <w:color w:val="auto"/>
        </w:rPr>
        <w:t>[ ], or registered assigns, is the registered holder of [ ] warrant(s) (the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and each,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to purchase shares of Class A common stock, $0.0001 par value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of AMCI Acquisition Corp. II,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Each Warrant entitles the holder, upon exercise during the period set forth in the Warrant Agreement referred to below, to receive from the Company that number of fully paid and nonassessable shares of Class A Common Stock as set forth below, at the exercise price (the “</w:t>
      </w:r>
      <w:r>
        <w:rPr>
          <w:rFonts w:ascii="Arial" w:cs="Arial" w:eastAsia="Arial" w:hAnsi="Arial"/>
          <w:sz w:val="17"/>
          <w:szCs w:val="17"/>
          <w:b w:val="1"/>
          <w:bCs w:val="1"/>
          <w:i w:val="1"/>
          <w:iCs w:val="1"/>
          <w:color w:val="auto"/>
        </w:rPr>
        <w:t>Warrant Price</w:t>
      </w:r>
      <w:r>
        <w:rPr>
          <w:rFonts w:ascii="Arial" w:cs="Arial" w:eastAsia="Arial" w:hAnsi="Arial"/>
          <w:sz w:val="17"/>
          <w:szCs w:val="17"/>
          <w:color w:val="auto"/>
        </w:rPr>
        <w:t>”) as determined pursuant to the Warrant Agreement, payable in lawful money (or through “</w:t>
      </w:r>
      <w:r>
        <w:rPr>
          <w:rFonts w:ascii="Arial" w:cs="Arial" w:eastAsia="Arial" w:hAnsi="Arial"/>
          <w:sz w:val="17"/>
          <w:szCs w:val="17"/>
          <w:b w:val="1"/>
          <w:bCs w:val="1"/>
          <w:i w:val="1"/>
          <w:iCs w:val="1"/>
          <w:color w:val="auto"/>
        </w:rPr>
        <w:t>cashless exercise</w:t>
      </w:r>
      <w:r>
        <w:rPr>
          <w:rFonts w:ascii="Arial" w:cs="Arial" w:eastAsia="Arial" w:hAnsi="Arial"/>
          <w:sz w:val="17"/>
          <w:szCs w:val="17"/>
          <w:color w:val="auto"/>
        </w:rPr>
        <w:t>” as provided for in the Warrant Agreement) of the United States of America upon surrender of this Warrant Certificate and payment of the Warrant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whole Warrant is initially exercisable for one fully paid and nonassessable share of Class A Common Stock. Fractional shares shall not be issued upon exercise of any Warrant. If, upon the exercise of Warrants, a holder would be entitled to receive a fractional interest in a share of Class A Common Stock, the Company shall, upon exercise, round down to the nearest whole number the number of shares of Class A Common Stock to be issued to the Warrant holder. The number of shares of Class A Common Stock issuable upon exercise of the Warrants is subject to adjustment upon the occurrence of certain events as set forth in the Warrant Agreement.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initial Warrant Price per share of Class A Common Stock for any Warrant is equal to $11.50 per share. The Warrant Price is subject to adjustment upon the occurrence of certain events as set forth in the Warrant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void. The Warrants may be redeemed, subject to certain conditions, as set forth in the Warrant Agreement.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648"/>
        <w:spacing w:after="0" w:line="263" w:lineRule="auto"/>
        <w:rPr>
          <w:sz w:val="20"/>
          <w:szCs w:val="20"/>
          <w:color w:val="auto"/>
        </w:rPr>
      </w:pPr>
      <w:r>
        <w:rPr>
          <w:rFonts w:ascii="Arial" w:cs="Arial" w:eastAsia="Arial" w:hAnsi="Arial"/>
          <w:sz w:val="18"/>
          <w:szCs w:val="18"/>
          <w:color w:val="auto"/>
        </w:rPr>
        <w:t>This Warrant Certificate shall not be valid unless countersigned by the Warrant Agent, as such term is used in the Warrant Agreement. This Warrant Certificate and all matters arising therefrom or relating thereto shall be governed by and construed in accordance with the internal laws of the State of New York.</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AMCI ACQUISITION CORP. II</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Warrant Agent</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[Reverse]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Warrants evidenced by this Warrant Certificate are part of a duly authorized issue of Warrants entitling the holder on exercise to receive [ ] shares of Class A Common Stock and are issued or to be issued pursuant to a Warrant Agreement dated as of August 3, 2021 (the “</w:t>
      </w:r>
      <w:r>
        <w:rPr>
          <w:rFonts w:ascii="Arial" w:cs="Arial" w:eastAsia="Arial" w:hAnsi="Arial"/>
          <w:sz w:val="17"/>
          <w:szCs w:val="17"/>
          <w:b w:val="1"/>
          <w:bCs w:val="1"/>
          <w:i w:val="1"/>
          <w:iCs w:val="1"/>
          <w:color w:val="auto"/>
        </w:rPr>
        <w:t>Warrant Agreement</w:t>
      </w:r>
      <w:r>
        <w:rPr>
          <w:rFonts w:ascii="Arial" w:cs="Arial" w:eastAsia="Arial" w:hAnsi="Arial"/>
          <w:sz w:val="17"/>
          <w:szCs w:val="17"/>
          <w:color w:val="auto"/>
        </w:rPr>
        <w:t>”), duly executed and delivered by the Company to Continental Stock Transfer &amp; Trust Company, a New York limited purpose trust company, as warrant agent (the “</w:t>
      </w:r>
      <w:r>
        <w:rPr>
          <w:rFonts w:ascii="Arial" w:cs="Arial" w:eastAsia="Arial" w:hAnsi="Arial"/>
          <w:sz w:val="17"/>
          <w:szCs w:val="17"/>
          <w:b w:val="1"/>
          <w:bCs w:val="1"/>
          <w:i w:val="1"/>
          <w:iCs w:val="1"/>
          <w:color w:val="auto"/>
        </w:rPr>
        <w:t>Warrant Agent</w:t>
      </w:r>
      <w:r>
        <w:rPr>
          <w:rFonts w:ascii="Arial" w:cs="Arial" w:eastAsia="Arial" w:hAnsi="Arial"/>
          <w:sz w:val="17"/>
          <w:szCs w:val="17"/>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Arial" w:cs="Arial" w:eastAsia="Arial" w:hAnsi="Arial"/>
          <w:sz w:val="17"/>
          <w:szCs w:val="17"/>
          <w:b w:val="1"/>
          <w:bCs w:val="1"/>
          <w:i w:val="1"/>
          <w:iCs w:val="1"/>
          <w:color w:val="auto"/>
        </w:rPr>
        <w:t>holders</w:t>
      </w:r>
      <w:r>
        <w:rPr>
          <w:rFonts w:ascii="Arial" w:cs="Arial" w:eastAsia="Arial" w:hAnsi="Arial"/>
          <w:sz w:val="17"/>
          <w:szCs w:val="17"/>
          <w:color w:val="auto"/>
        </w:rPr>
        <w:t>” or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Warrant Price as specified in the Warrant Agreement (or through “</w:t>
      </w:r>
      <w:r>
        <w:rPr>
          <w:rFonts w:ascii="Arial" w:cs="Arial" w:eastAsia="Arial" w:hAnsi="Arial"/>
          <w:sz w:val="17"/>
          <w:szCs w:val="17"/>
          <w:i w:val="1"/>
          <w:iCs w:val="1"/>
          <w:color w:val="auto"/>
        </w:rPr>
        <w:t>cashless exercise</w:t>
      </w:r>
      <w:r>
        <w:rPr>
          <w:rFonts w:ascii="Arial" w:cs="Arial" w:eastAsia="Arial" w:hAnsi="Arial"/>
          <w:sz w:val="17"/>
          <w:szCs w:val="17"/>
          <w:color w:val="auto"/>
        </w:rPr>
        <w:t>”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anything else in this Warrant Certificate or the Warrant Agreement, no Warrant may be exercised unless at the time of exercise</w:t>
      </w:r>
    </w:p>
    <w:p>
      <w:pPr>
        <w:spacing w:after="0" w:line="46" w:lineRule="exact"/>
        <w:rPr>
          <w:sz w:val="20"/>
          <w:szCs w:val="20"/>
          <w:color w:val="auto"/>
        </w:rPr>
      </w:pPr>
    </w:p>
    <w:p>
      <w:pPr>
        <w:jc w:val="both"/>
        <w:ind w:firstLine="8"/>
        <w:spacing w:after="0" w:line="255" w:lineRule="auto"/>
        <w:tabs>
          <w:tab w:leader="none" w:pos="22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registration statement covering the issuance of the shares of Class A Common Stock to be issued upon exercise is effective under the Securities Act and (ii) a prospectus thereunder relating to the shares of Class A Common Stock is current, except through “</w:t>
      </w:r>
      <w:r>
        <w:rPr>
          <w:rFonts w:ascii="Arial" w:cs="Arial" w:eastAsia="Arial" w:hAnsi="Arial"/>
          <w:sz w:val="18"/>
          <w:szCs w:val="18"/>
          <w:i w:val="1"/>
          <w:iCs w:val="1"/>
          <w:color w:val="auto"/>
        </w:rPr>
        <w:t>cashless exercise</w:t>
      </w:r>
      <w:r>
        <w:rPr>
          <w:rFonts w:ascii="Arial" w:cs="Arial" w:eastAsia="Arial" w:hAnsi="Arial"/>
          <w:sz w:val="18"/>
          <w:szCs w:val="18"/>
          <w:color w:val="auto"/>
        </w:rPr>
        <w:t>” as provided for in the Warrant Agreement.</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Warrant Agreement provides that upon the occurrence of certain events the number of shares of Class A Common Stock issuable upon exercise of the Warrants set forth on the face hereof may, subject to certain conditions, be adjusted. If, upon exercise of a Warrant, the holder thereof would be entitled to receive a fractional interest in a share of Class A Common Stock, the Company shall, upon exercise, round down to the nearest whole number of shares of Class A Common Stock to be issued to the holder of the Warrant.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stockholder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Election to Purchase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Upon Exercise of Warrant)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undersigned hereby irrevocably elects to exercise the right, represented by this Warrant Certificate, to receive [ ] shares of Class A Common Stock and herewith tenders payment for such shares of Class A Common Stock to the order of AMCI Acquisition Corp. II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the amount of $[ ] in accordance with the terms hereof. The undersigned requests that a certificate for such shares of Class A Common Stock be registered in the name of [ ], whose address is [ ] and that such shares of Class A Common Stock be delivered to [ ] whose address is [ ]. If said [ ] number of shares of Class A Common Stock is less than all of the shares of Class A Common Stock purchasable hereunder, the undersigned requests that a new Warrant Certificate representing the remaining balance of such shares of Class A Common Stock be registered in the name of [ ], whose address is [ ] and that such Warrant Certificate be delivered to [ ], whose address is [ ].</w:t>
      </w:r>
    </w:p>
    <w:p>
      <w:pPr>
        <w:spacing w:after="0" w:line="1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In the event that the Warrant has been called for redemption by the Company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of the Warrant Agreement and a holder thereof elects to exercise its Warrant pursuant to a Make-Whole Exercise, the number of shares of Class A Common Stock that this Warrant is exercisable for shall be determined in accordance with </w:t>
      </w:r>
      <w:r>
        <w:rPr>
          <w:rFonts w:ascii="Arial" w:cs="Arial" w:eastAsia="Arial" w:hAnsi="Arial"/>
          <w:sz w:val="17"/>
          <w:szCs w:val="17"/>
          <w:u w:val="single" w:color="auto"/>
          <w:color w:val="auto"/>
        </w:rPr>
        <w:t>subsection 3.3.1(c)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of the Warrant Agreement, as applicable.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the event that the Warrant is a Private Placement Warrant that is to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 the number of shares of Class A Common Stock that this Warrant is exercisable for shall be determined in accordance with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3.3.1(c)</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In the event that the Warrant is to be exercised on a “cashless” basis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 the number of shares of Class A Common Stock that this Warrant is exercisable for shall be determined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w:t>
      </w:r>
    </w:p>
    <w:p>
      <w:pPr>
        <w:spacing w:after="0" w:line="1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event that the Warrant may be exercised, to the extent allowed by the Warrant Agreement, through cashless exercise (i) the number of shares of Class A Common Stock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shares of Class A Common Stock. If said number of shares is less than all of the shares of Class A Common Stock purchasable hereunder (after giving effect to the cashless exercise), the undersigned requests that a new Warrant Certificate representing the remaining balance of such shares of Class A Common Stock be registered in the name of [ ], whose address is [ ] and that such Warrant Certificate be delivered to [ ], whose address is [ ].</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Date: [  ], 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3566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LEGEND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LETTER AGREEMENT BY AND AMONG AMCI ACQUISITION CORP. II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AMCI SPONSOR II LLC AND THE OTHER PARTIES THERETO, THE SECURITIES REPRESENTED BY THIS CERTIFICATE MAY NOT BE SOLD OR TRANSFERRED PRIOR TO THE DATE THAT IS THIRTY (30) DAYS AFTER THE DATE UPON WHICH THE COMPANY COMPLETES ITS INITIAL BUSINESS COMBINATION (AS DEFINED IN THE RECITALS OF THE WARRANT AGREEMENT REFERRED TO HEREIN) EXCEPT TO A PERMITTED TRANSFEREE (AS DEFINED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THE WARRANT AGREEMENT REFERRED TO HEREIN) WHO AGREES IN WRITING WITH THE COMPANY TO BE SUBJECT TO SUCH TRANSFER PROVISIONS.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SECURITIES EVIDENCED BY THIS CERTIFICATE AND SHARES OF CLASS A COMMON STOCK OF THE COMPANY ISSUED UPON EXERCISE OF SUCH SECURITIES SHALL BE ENTITLED TO REGISTRATION RIGHTS UNDER A REGISTRATION AGREEMENT TO BE EXECUTED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 ]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left="10120"/>
        <w:spacing w:after="0"/>
        <w:rPr>
          <w:sz w:val="20"/>
          <w:szCs w:val="20"/>
          <w:color w:val="auto"/>
        </w:rPr>
      </w:pPr>
      <w:r>
        <w:rPr>
          <w:rFonts w:ascii="Arial" w:cs="Arial" w:eastAsia="Arial" w:hAnsi="Arial"/>
          <w:sz w:val="19"/>
          <w:szCs w:val="19"/>
          <w:b w:val="1"/>
          <w:bCs w:val="1"/>
          <w:color w:val="auto"/>
        </w:rPr>
        <w:t>Exhibit 10.1</w:t>
      </w: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AMCI Acquisition Corp.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Steamboat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letter (this “</w:t>
      </w:r>
      <w:r>
        <w:rPr>
          <w:rFonts w:ascii="Arial" w:cs="Arial" w:eastAsia="Arial" w:hAnsi="Arial"/>
          <w:sz w:val="17"/>
          <w:szCs w:val="17"/>
          <w:b w:val="1"/>
          <w:bCs w:val="1"/>
          <w:i w:val="1"/>
          <w:iCs w:val="1"/>
          <w:color w:val="auto"/>
        </w:rPr>
        <w:t>Letter Agreement</w:t>
      </w:r>
      <w:r>
        <w:rPr>
          <w:rFonts w:ascii="Arial" w:cs="Arial" w:eastAsia="Arial" w:hAnsi="Arial"/>
          <w:sz w:val="17"/>
          <w:szCs w:val="17"/>
          <w:color w:val="auto"/>
        </w:rPr>
        <w:t>”) is being delivered to you in accordance with the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entered into by and among AMCI Acquisition Corp. II,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 Evercore Group L.L.C., as representative (the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of the several underwriters (each, an “</w:t>
      </w:r>
      <w:r>
        <w:rPr>
          <w:rFonts w:ascii="Arial" w:cs="Arial" w:eastAsia="Arial" w:hAnsi="Arial"/>
          <w:sz w:val="17"/>
          <w:szCs w:val="17"/>
          <w:b w:val="1"/>
          <w:bCs w:val="1"/>
          <w:i w:val="1"/>
          <w:iCs w:val="1"/>
          <w:color w:val="auto"/>
        </w:rPr>
        <w:t>Underwriter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relating to an underwritten initial public offering (the “</w:t>
      </w:r>
      <w:r>
        <w:rPr>
          <w:rFonts w:ascii="Arial" w:cs="Arial" w:eastAsia="Arial" w:hAnsi="Arial"/>
          <w:sz w:val="17"/>
          <w:szCs w:val="17"/>
          <w:b w:val="1"/>
          <w:bCs w:val="1"/>
          <w:i w:val="1"/>
          <w:iCs w:val="1"/>
          <w:color w:val="auto"/>
        </w:rPr>
        <w:t>Public Offering</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of up to 17,250,000 of the Company’s units (including up to 2,250,000 units that may be purchased to cover over-allotments, if any)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each comprised of one share of the Company’s Class A common stock, par value $0.0001 per share (the “</w:t>
      </w:r>
      <w:r>
        <w:rPr>
          <w:rFonts w:ascii="Arial" w:cs="Arial" w:eastAsia="Arial" w:hAnsi="Arial"/>
          <w:sz w:val="17"/>
          <w:szCs w:val="17"/>
          <w:b w:val="1"/>
          <w:bCs w:val="1"/>
          <w:i w:val="1"/>
          <w:iCs w:val="1"/>
          <w:color w:val="auto"/>
        </w:rPr>
        <w:t>Class A</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one-half of one redeemable warrant. Each whole warrant (each,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entitles the holder thereof to purchase one share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 A Common Stock at a price of $11.50 per share, subject to adjustment as described in the Prospectus (as defined below). The Units will be sold in the Public Offering pursuant to a registration statement on Form S-1 and prospectus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filed by the Company with the U.S.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and the Company has applied to have the Units listed on The Nasdaq Capital Market. Certain capitalized terms used herein are defined in paragraph 11 hereof.</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order to induce the Company and the Underwriters to enter into the Underwriting Agreement and to proceed with the Public Offering and for other good and valuable consideration, the receipt and sufficiency of which are hereby acknowledged, each of AMCI Sponsor II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and the undersigned individuals, each of whom is a member of the Company’s board of directors and/or management team (each of the undersigned individuals, an “</w:t>
      </w:r>
      <w:r>
        <w:rPr>
          <w:rFonts w:ascii="Arial" w:cs="Arial" w:eastAsia="Arial" w:hAnsi="Arial"/>
          <w:sz w:val="17"/>
          <w:szCs w:val="17"/>
          <w:b w:val="1"/>
          <w:bCs w:val="1"/>
          <w:i w:val="1"/>
          <w:iCs w:val="1"/>
          <w:color w:val="auto"/>
        </w:rPr>
        <w:t>Insider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Insiders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hereby agrees with the Company as follows:</w:t>
      </w:r>
    </w:p>
    <w:p>
      <w:pPr>
        <w:spacing w:after="0" w:line="171" w:lineRule="exact"/>
        <w:rPr>
          <w:sz w:val="20"/>
          <w:szCs w:val="20"/>
          <w:color w:val="auto"/>
        </w:rPr>
      </w:pPr>
    </w:p>
    <w:p>
      <w:pPr>
        <w:jc w:val="both"/>
        <w:ind w:firstLine="656"/>
        <w:spacing w:after="0" w:line="275" w:lineRule="auto"/>
        <w:tabs>
          <w:tab w:leader="none" w:pos="1518"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Sponsor and each Insider agrees that if the Company seeks stockholder approval of a proposed Business Combination, then in connection with such proposed Business Combination, it, he or she shall (i) vote any shares of Common Stock (as defined below) owned by it, him or her in favor of any proposed Business Combination and (ii) not redeem any shares of Common Stock owned by it, him or her in connection with such stockholder approval. If the Company seeks to consummate a proposed Business Combination by engaging in a tender offer, the Sponsor and each Insider agrees that it, he or she will not sell or tender any shares of Common Stock owned by it, him or her in connection therewith.</w:t>
      </w:r>
    </w:p>
    <w:p>
      <w:pPr>
        <w:spacing w:after="0" w:line="176" w:lineRule="exact"/>
        <w:rPr>
          <w:rFonts w:ascii="Arial" w:cs="Arial" w:eastAsia="Arial" w:hAnsi="Arial"/>
          <w:sz w:val="17"/>
          <w:szCs w:val="17"/>
          <w:color w:val="auto"/>
        </w:rPr>
      </w:pPr>
    </w:p>
    <w:p>
      <w:pPr>
        <w:jc w:val="both"/>
        <w:ind w:firstLine="656"/>
        <w:spacing w:after="0" w:line="285" w:lineRule="auto"/>
        <w:tabs>
          <w:tab w:leader="none" w:pos="1388"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Sponsor and each Insider hereby agrees that in the event that the Company fails to consummate a Business Combination within 24 months from the closing of the Public Offering, or such later period approved by the Company’s stockholders in accordance with the Company’s amended and restated certificate of incorporation (as it may be amended from time to time,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Sponsor and each Insider shall take all reasonable steps to cause the Company to (i) cease all operations except for the purpose of winding up, (ii) as promptly as reasonably possible but not more than ten business days thereafter, redeem 100% of the shares of Class A Common Stock sold as part of the Units in the Public Offering (the “</w:t>
      </w:r>
      <w:r>
        <w:rPr>
          <w:rFonts w:ascii="Arial" w:cs="Arial" w:eastAsia="Arial" w:hAnsi="Arial"/>
          <w:sz w:val="16"/>
          <w:szCs w:val="16"/>
          <w:b w:val="1"/>
          <w:bCs w:val="1"/>
          <w:i w:val="1"/>
          <w:iCs w:val="1"/>
          <w:color w:val="auto"/>
        </w:rPr>
        <w:t>Offering Shares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at a per-share price, payable in cash, equal to the aggregate amount then on deposit in the Trust Account (as defined below), including interest earned on the funds held in the Trust Account (which interest shall be net of taxes payable and up to $100,000 of interest to pay dissolution expenses), divided by the number of then outstanding Offering Shares, which redemption will completely extinguish all Public Stockholders’ (as defined below) rights as stockholders (including the right to receive further liquidating distributions, if any), and (iii) as promptly as reasonably possible following such redemption, subject to the approval of the Company’s remaining stockholders and the Company’s board of directors, liquidate and dissolve, subject in each case to the Company’s obligations under Delaware law to provide for claims of creditors and other requirements of applicable law. The Sponsor and each Insider agrees to not propose any amendment to the Charter to modify the substance or timing of the Company’s obligation to redeem 100% of the Offering Shares if the Company does not complete a Business Combination within the required time period set forth in the Charter or with respect to any other material provisions relating to stockholders’ rights or pre-initial business combination activity, unless the Company provides its Public Stockholders with the opportunity to redeem their Offering Shares upon approval of any such amendment at a per-share price, payable in cash, equal to the aggregate amount then on deposit in the Trust Account, including interest earned on the funds held in the Trust Account and not previously released to the Company to pay its taxes, divided by the number of then outstanding Offering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8" w:name="page89"/>
    <w:bookmarkEnd w:id="88"/>
    <w:p>
      <w:pPr>
        <w:jc w:val="both"/>
        <w:ind w:firstLine="648"/>
        <w:spacing w:after="0" w:line="269" w:lineRule="auto"/>
        <w:rPr>
          <w:sz w:val="20"/>
          <w:szCs w:val="20"/>
          <w:color w:val="auto"/>
        </w:rPr>
      </w:pPr>
      <w:r>
        <w:rPr>
          <w:rFonts w:ascii="Arial" w:cs="Arial" w:eastAsia="Arial" w:hAnsi="Arial"/>
          <w:sz w:val="17"/>
          <w:szCs w:val="17"/>
          <w:color w:val="auto"/>
        </w:rPr>
        <w:t>The Sponsor and each Insider acknowledges that it, he or she has no right, title, interest or claim of any kind in or to any monies held in the Trust Account or any other asset of the Company as a result of any liquidation of the Company with respect to the Founder Shares held by it, him or her. The Sponsor and each Insider hereby further waives, with respect to any shares of Common Stock held by it, him or her, if any, any redemption rights it, he or she may have in connection with (A) the consummation of a Business Combination, including, without limitation, any such rights available in the context of a stockholder vote to approve such Business Combination, or (B) a stockholder vote to approve an amendment to the Charter to modify the substance or timing of the Company’s obligation to redeem 100% of the Offering Shares if the Company has not consummated a Business Combination within the time period set forth in the Charter or with respect to any other material provisions relating to stockholders’ rights or pre-initial business combination activity or in the context of a tender offer made by the Company to purchase Offering Shares (although the Sponsor, the Insiders and their respective affiliates shall be entitled to redemption and liquidation rights with respect to any Offering Shares it or they hold if the Company fails to consummate a Business Combination within the time period set forth in the Charter).</w:t>
      </w:r>
    </w:p>
    <w:p>
      <w:pPr>
        <w:spacing w:after="0" w:line="185" w:lineRule="exact"/>
        <w:rPr>
          <w:sz w:val="20"/>
          <w:szCs w:val="20"/>
          <w:color w:val="auto"/>
        </w:rPr>
      </w:pPr>
    </w:p>
    <w:p>
      <w:pPr>
        <w:jc w:val="both"/>
        <w:ind w:firstLine="656"/>
        <w:spacing w:after="0" w:line="284" w:lineRule="auto"/>
        <w:tabs>
          <w:tab w:leader="none" w:pos="1419" w:val="left"/>
        </w:tabs>
        <w:numPr>
          <w:ilvl w:val="1"/>
          <w:numId w:val="76"/>
        </w:numPr>
        <w:rPr>
          <w:rFonts w:ascii="Arial" w:cs="Arial" w:eastAsia="Arial" w:hAnsi="Arial"/>
          <w:sz w:val="16"/>
          <w:szCs w:val="16"/>
          <w:color w:val="auto"/>
        </w:rPr>
      </w:pPr>
      <w:r>
        <w:rPr>
          <w:rFonts w:ascii="Arial" w:cs="Arial" w:eastAsia="Arial" w:hAnsi="Arial"/>
          <w:sz w:val="16"/>
          <w:szCs w:val="16"/>
          <w:color w:val="auto"/>
        </w:rPr>
        <w:t>During the period commencing on the effective date of the Underwriting Agreement and ending 180 days after such date, the Sponsor and each Insider shall not, without the prior written consent of the Representative,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and the rules and regulations of the Commission promulgated thereunder, with respect to, any Units, shares of Common Stock (including, but not limited to, Founder Shares), Warrants or any securities convertible into, or exercisable, or exchangeable for, shares of Common Stock owned by it, him or her,</w:t>
      </w:r>
    </w:p>
    <w:p>
      <w:pPr>
        <w:spacing w:after="0" w:line="4" w:lineRule="exact"/>
        <w:rPr>
          <w:rFonts w:ascii="Arial" w:cs="Arial" w:eastAsia="Arial" w:hAnsi="Arial"/>
          <w:sz w:val="16"/>
          <w:szCs w:val="16"/>
          <w:color w:val="auto"/>
        </w:rPr>
      </w:pPr>
    </w:p>
    <w:p>
      <w:pPr>
        <w:jc w:val="both"/>
        <w:ind w:firstLine="8"/>
        <w:spacing w:after="0" w:line="281" w:lineRule="auto"/>
        <w:tabs>
          <w:tab w:leader="none" w:pos="276" w:val="left"/>
        </w:tabs>
        <w:numPr>
          <w:ilvl w:val="0"/>
          <w:numId w:val="77"/>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any Units, shares of Common Stock (including, but not limited to, Founder Shares), Warrants or any securities convertible into, or exercisable, or exchangeable for, shares of Common Stock owned by it, him or her, whether any such transaction is to be settled by delivery of such securities, in cash or otherwise, or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publicly announce any intention to effect any transaction specified in clause (i) or (ii).</w:t>
      </w:r>
    </w:p>
    <w:p>
      <w:pPr>
        <w:spacing w:after="0" w:line="210" w:lineRule="exact"/>
        <w:rPr>
          <w:rFonts w:ascii="Arial" w:cs="Arial" w:eastAsia="Arial" w:hAnsi="Arial"/>
          <w:sz w:val="18"/>
          <w:szCs w:val="18"/>
          <w:color w:val="auto"/>
        </w:rPr>
      </w:pPr>
    </w:p>
    <w:p>
      <w:pPr>
        <w:jc w:val="both"/>
        <w:ind w:firstLine="656"/>
        <w:spacing w:after="0" w:line="286" w:lineRule="auto"/>
        <w:tabs>
          <w:tab w:leader="none" w:pos="1455" w:val="left"/>
        </w:tabs>
        <w:numPr>
          <w:ilvl w:val="1"/>
          <w:numId w:val="77"/>
        </w:numPr>
        <w:rPr>
          <w:rFonts w:ascii="Arial" w:cs="Arial" w:eastAsia="Arial" w:hAnsi="Arial"/>
          <w:sz w:val="16"/>
          <w:szCs w:val="16"/>
          <w:color w:val="auto"/>
        </w:rPr>
      </w:pPr>
      <w:r>
        <w:rPr>
          <w:rFonts w:ascii="Arial" w:cs="Arial" w:eastAsia="Arial" w:hAnsi="Arial"/>
          <w:sz w:val="16"/>
          <w:szCs w:val="16"/>
          <w:color w:val="auto"/>
        </w:rPr>
        <w:t>In the event of the liquidation of the Trust Account upon the failure of the Company to consummate its initial Business Combination within the time period set forth in the Charter, the Sponsor (the “</w:t>
      </w:r>
      <w:r>
        <w:rPr>
          <w:rFonts w:ascii="Arial" w:cs="Arial" w:eastAsia="Arial" w:hAnsi="Arial"/>
          <w:sz w:val="16"/>
          <w:szCs w:val="16"/>
          <w:b w:val="1"/>
          <w:bCs w:val="1"/>
          <w:i w:val="1"/>
          <w:iCs w:val="1"/>
          <w:color w:val="auto"/>
        </w:rPr>
        <w:t>Indemnitor</w:t>
      </w:r>
      <w:r>
        <w:rPr>
          <w:rFonts w:ascii="Arial" w:cs="Arial" w:eastAsia="Arial" w:hAnsi="Arial"/>
          <w:sz w:val="16"/>
          <w:szCs w:val="16"/>
          <w:color w:val="auto"/>
        </w:rPr>
        <w:t>”)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to which the Company may become subject as a result of any claim by (i) any third party for services rendered or products sold to the Company or (ii) any prospective target business with which the Company has entered into a written letter of intent, confidentiality or other similar agreement or Business Combination agreement (a “</w:t>
      </w:r>
      <w:r>
        <w:rPr>
          <w:rFonts w:ascii="Arial" w:cs="Arial" w:eastAsia="Arial" w:hAnsi="Arial"/>
          <w:sz w:val="16"/>
          <w:szCs w:val="16"/>
          <w:b w:val="1"/>
          <w:bCs w:val="1"/>
          <w:i w:val="1"/>
          <w:iCs w:val="1"/>
          <w:color w:val="auto"/>
        </w:rPr>
        <w:t>Target</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provided, however, that such indemnification of the Company by the Indemnitor (x) shall apply only to the extent necessary to ensure that such claims by a third party or a Target do not reduce the amount of funds in the Trust Account to below the lesser of (i) $10.00 per Offering Share and (ii) the actual amount per Offering Share held in the Trust Account as of the date of the liquidation of the Trust Account, if less than $10.00 per Offering Share is then held in the Trust Account due to reductions in the value of the trust assets, less taxes payable, (y) shall not apply to any claims by a third party or a Target which executed a waiver of any and all rights to the monies held in the Trust Account (whether or not such waiver is enforceable) and (z) shall not apply to any claims under the Company’s indemnity of the Underwriters against certain liabilities, including liabilities under the Securities Act of 1933, as amended. The Indemnitor shall have the right to defend against any such claim with counsel of its choice reasonably satisfactory to the Company if, within 15 days following written receipt of notice of the claim to the Indemnitor, the Indemnitor notifies the Company in writing that it shall undertake such defense.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656"/>
        <w:spacing w:after="0" w:line="286" w:lineRule="auto"/>
        <w:tabs>
          <w:tab w:leader="none" w:pos="135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To the extent that the Underwriters do not exercise their over-allotment option to purchase up to an additional 2,250,000 Units within 45 days from the date of the Prospectus (and as further described in the Prospectus), the Sponsor agrees to forfeit, at no cost, a number of Founder Shares in the aggregate equal to 562,500 multiplied by a fraction, (i) the numerator of which is 2,250,000 minus the number of Units purchased by the Underwriters upon the exercise of their over-allotment option, and (ii) the denominator of which is 2,250,000. The forfeiture will be adjusted to the extent that the over-allotment option is not exercised in full by the Underwriters so that the Founder Shares will represent an aggregate of 20.0% of the Company’s issued and outstanding shares of Class A Common Stock after the Public Offering (not including shares of Class A Common Stock underlying the Warrants or Private Placement Warrants (as defined below)). The Sponsor further agrees that to the extent that the size of the Public Offering is increased or decreased, the Company will purchase or sell Units or effect a share repurchase or share capitalization, as applicable, immediately prior to the consummation of the Public Offering in such amount as to maintain the ownership of the initial shareholders prior to the Public Offering at 20.0% of its issued and outstanding Capital Shares upon the consummation of the Public Offering. In connection with such increase or decrease in the size of the Public Offering, then (A) the references to 2,250,000 in the numerator and denominator of the formula in the first sentence of this paragraph shall be changed to a number equal to 15% of the number of Public Shares included in the Units issued in the Public Offering and (B) the reference to 562,500 in the formula set forth in the first sentence of this paragraph shall be adjusted to such number of Founder Shares that the Sponsor would have to surrender to the Company in order for the initial shareholders to hold an aggregate of 20.0% of the Company’s issued and outstanding shares of Class A Common Stock after the Public Offering (not including shares of Class A Common Stock underlying the Warrants or Private Placement Warrants).</w:t>
      </w:r>
    </w:p>
    <w:p>
      <w:pPr>
        <w:spacing w:after="0" w:line="167" w:lineRule="exact"/>
        <w:rPr>
          <w:rFonts w:ascii="Arial" w:cs="Arial" w:eastAsia="Arial" w:hAnsi="Arial"/>
          <w:sz w:val="16"/>
          <w:szCs w:val="16"/>
          <w:color w:val="auto"/>
        </w:rPr>
      </w:pPr>
    </w:p>
    <w:p>
      <w:pPr>
        <w:jc w:val="both"/>
        <w:ind w:firstLine="656"/>
        <w:spacing w:after="0" w:line="279" w:lineRule="auto"/>
        <w:tabs>
          <w:tab w:leader="none" w:pos="1361"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Sponsor and each Insider hereby agrees and acknowledges that: (i) the Underwriters and the Company would be irreparably injured in the event of a breach by such Sponsor or an Insider of its, his or her obligations under paragraphs 1, 2, 3, 4, 5, 7(a), and 7(b), as applicable, of this Letter Agreement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171" w:lineRule="exact"/>
        <w:rPr>
          <w:rFonts w:ascii="Arial" w:cs="Arial" w:eastAsia="Arial" w:hAnsi="Arial"/>
          <w:sz w:val="17"/>
          <w:szCs w:val="17"/>
          <w:color w:val="auto"/>
        </w:rPr>
      </w:pPr>
    </w:p>
    <w:p>
      <w:pPr>
        <w:jc w:val="both"/>
        <w:ind w:firstLine="656"/>
        <w:spacing w:after="0" w:line="272" w:lineRule="auto"/>
        <w:tabs>
          <w:tab w:leader="none" w:pos="1327"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The Sponsor and each Insider agrees that it, he or she shall not Transfer any Founder Shares (or any shares of Class A Common Stock issuable upon conversion thereof) until the earlier of (A) one year after the completion of the Company’s initial Business Combination and (B) subsequent to the Business Combination, (x) if the closing price of the Class A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capital stock exchange, reorganization or other similar transaction that results in all of the Company’s stockholders having the right to exchange their shares of Class A Common Stock for cash, securities or other property (the “</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firstLine="1304"/>
        <w:spacing w:after="0" w:line="286" w:lineRule="auto"/>
        <w:tabs>
          <w:tab w:leader="none" w:pos="2229" w:val="left"/>
        </w:tabs>
        <w:numPr>
          <w:ilvl w:val="2"/>
          <w:numId w:val="79"/>
        </w:numPr>
        <w:rPr>
          <w:rFonts w:ascii="Arial" w:cs="Arial" w:eastAsia="Arial" w:hAnsi="Arial"/>
          <w:sz w:val="17"/>
          <w:szCs w:val="17"/>
          <w:color w:val="auto"/>
        </w:rPr>
      </w:pPr>
      <w:r>
        <w:rPr>
          <w:rFonts w:ascii="Arial" w:cs="Arial" w:eastAsia="Arial" w:hAnsi="Arial"/>
          <w:sz w:val="17"/>
          <w:szCs w:val="17"/>
          <w:color w:val="auto"/>
        </w:rPr>
        <w:t>The Sponsor and each Insider agrees that it, he or she shall not Transfer any Private Placement Warrants (or any share of Class A Common Stock issued or issuable upon the exercise of the Private Placement Warrants), until 30 days after the completion of a Business Combination (the “</w:t>
      </w:r>
      <w:r>
        <w:rPr>
          <w:rFonts w:ascii="Arial" w:cs="Arial" w:eastAsia="Arial" w:hAnsi="Arial"/>
          <w:sz w:val="17"/>
          <w:szCs w:val="17"/>
          <w:b w:val="1"/>
          <w:bCs w:val="1"/>
          <w:i w:val="1"/>
          <w:iCs w:val="1"/>
          <w:color w:val="auto"/>
        </w:rPr>
        <w:t>Private Placement Warrants Lock-up Period</w:t>
      </w:r>
      <w:r>
        <w:rPr>
          <w:rFonts w:ascii="Arial" w:cs="Arial" w:eastAsia="Arial" w:hAnsi="Arial"/>
          <w:sz w:val="17"/>
          <w:szCs w:val="17"/>
          <w:color w:val="auto"/>
        </w:rPr>
        <w:t>”, together with the Founder Shares Lock-up Period, the “</w:t>
      </w:r>
      <w:r>
        <w:rPr>
          <w:rFonts w:ascii="Arial" w:cs="Arial" w:eastAsia="Arial" w:hAnsi="Arial"/>
          <w:sz w:val="17"/>
          <w:szCs w:val="17"/>
          <w:b w:val="1"/>
          <w:bCs w:val="1"/>
          <w:i w:val="1"/>
          <w:iCs w:val="1"/>
          <w:color w:val="auto"/>
        </w:rPr>
        <w:t>Lock-up Periods</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65" w:lineRule="exact"/>
        <w:rPr>
          <w:rFonts w:ascii="Arial" w:cs="Arial" w:eastAsia="Arial" w:hAnsi="Arial"/>
          <w:sz w:val="17"/>
          <w:szCs w:val="17"/>
          <w:color w:val="auto"/>
        </w:rPr>
      </w:pPr>
    </w:p>
    <w:p>
      <w:pPr>
        <w:jc w:val="both"/>
        <w:ind w:firstLine="1304"/>
        <w:spacing w:after="0" w:line="283" w:lineRule="auto"/>
        <w:tabs>
          <w:tab w:leader="none" w:pos="2290" w:val="left"/>
        </w:tabs>
        <w:numPr>
          <w:ilvl w:val="2"/>
          <w:numId w:val="79"/>
        </w:numPr>
        <w:rPr>
          <w:rFonts w:ascii="Arial" w:cs="Arial" w:eastAsia="Arial" w:hAnsi="Arial"/>
          <w:sz w:val="16"/>
          <w:szCs w:val="16"/>
          <w:color w:val="auto"/>
        </w:rPr>
      </w:pPr>
      <w:r>
        <w:rPr>
          <w:rFonts w:ascii="Arial" w:cs="Arial" w:eastAsia="Arial" w:hAnsi="Arial"/>
          <w:sz w:val="16"/>
          <w:szCs w:val="16"/>
          <w:color w:val="auto"/>
        </w:rPr>
        <w:t xml:space="preserve">Notwithstanding the provisions set forth in paragraphs 7(a) and (b), Transfers of the Founder Shares, Private Placement Warrants and shares of Class A Common Stock issued or issuable upon the exercise or conversion of the Private Placement Warrants or the Founder Shares that are held by the Sponsor, any Insider or any of their permitted transferees (that have complied with this paragraph 7(c)), are permitted (a) to the Company’s officers or directors, any affiliate or family member of any of the Company’s officers or directors, any affiliate of the Sponsor or to any members of the Sponsor or any of their affiliates; (b) in the case of an individual, by gift to a member of such individual’s immediate family or to a trust, the beneficiary of which is a member of such individual’s immediate family, an affiliate of such individual or to a charitable organization; (c) in the case of an individual, by virtue of laws of descent and distribution upon death of such individual; (d) in the case of an individual, pursuant to a qualified domestic relations order; (e) by private sales or transfers made in connection with any forward purchase agreement or similar arrangement or in connection with the consummation of an initial Business Combination at prices no greater than the price at which the securities were originally purchased; (f) in the event of the Company’s liquidation prior to the completion of an initial Business Combination; (g) by virtue of the laws of the State of Delaware or the Sponsor’s limited liability company agreement upon dissolution of the Sponsor; or (h) in the event of the Company’s liquidation, merger, capital stock exchange or other similar transaction which results in all of the Company’s stockholders having the right to exchange their shares of Class A Common Stock for cash, securities or other property subsequent to the Company’s completion of an initial Business Combination;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clauses</w:t>
      </w:r>
    </w:p>
    <w:p>
      <w:pPr>
        <w:spacing w:after="0" w:line="1" w:lineRule="exact"/>
        <w:rPr>
          <w:rFonts w:ascii="Arial" w:cs="Arial" w:eastAsia="Arial" w:hAnsi="Arial"/>
          <w:sz w:val="16"/>
          <w:szCs w:val="16"/>
          <w:color w:val="auto"/>
        </w:rPr>
      </w:pPr>
    </w:p>
    <w:p>
      <w:pPr>
        <w:ind w:right="20" w:firstLine="8"/>
        <w:spacing w:after="0" w:line="323" w:lineRule="auto"/>
        <w:tabs>
          <w:tab w:leader="none" w:pos="255"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through (e) or (g), these permitted transferees must enter into a written agreement with the Company agreeing to be bound by the transfer restrictions herein and the other restrictions contained in this Agreement (including provisions relating to voting, the Trust Account and liquidating distributions).</w:t>
      </w:r>
    </w:p>
    <w:p>
      <w:pPr>
        <w:spacing w:after="0" w:line="138" w:lineRule="exact"/>
        <w:rPr>
          <w:rFonts w:ascii="Arial" w:cs="Arial" w:eastAsia="Arial" w:hAnsi="Arial"/>
          <w:sz w:val="16"/>
          <w:szCs w:val="16"/>
          <w:color w:val="auto"/>
        </w:rPr>
      </w:pPr>
    </w:p>
    <w:p>
      <w:pPr>
        <w:jc w:val="both"/>
        <w:ind w:firstLine="656"/>
        <w:spacing w:after="0" w:line="253" w:lineRule="auto"/>
        <w:tabs>
          <w:tab w:leader="none" w:pos="1405"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Sponsor and each Insider represents and warrants that it, he or she has never been suspended or expelled from membership in any securities or commodities exchange or association or had a securities or commodities license or registration denied, suspended or revoked. Each Insider’s biographical information furnished to the Company (including any such information included in the Prospectus) is true and accurate in all respects and does not omit any material information with respect to the Insider’s background. The Sponsor and each Insider’s questionnaire furnished to the Company is true and accurate in all respects. The Sponsor and each Insider represents and warrants that: it, he or she is not subject to or a respondent in any legal action for, any injunction, cease-and-desist order or order or stipulation to desist or refrain from any act or practice relating to the offering of securities in any jurisdiction; it, he or she has never been convicted of, or pleaded guilty to, any crime (i) involving fraud, (ii) relating to any financial transaction or handling of funds of another person, or (iii) pertaining to any dealings in any securities and it, he or she is not currently a defendant in any such criminal proceeding.</w:t>
      </w:r>
    </w:p>
    <w:p>
      <w:pPr>
        <w:spacing w:after="0" w:line="196" w:lineRule="exact"/>
        <w:rPr>
          <w:rFonts w:ascii="Arial" w:cs="Arial" w:eastAsia="Arial" w:hAnsi="Arial"/>
          <w:sz w:val="18"/>
          <w:szCs w:val="18"/>
          <w:color w:val="auto"/>
        </w:rPr>
      </w:pPr>
    </w:p>
    <w:p>
      <w:pPr>
        <w:jc w:val="both"/>
        <w:ind w:firstLine="656"/>
        <w:spacing w:after="0" w:line="286" w:lineRule="auto"/>
        <w:tabs>
          <w:tab w:leader="none" w:pos="1337" w:val="left"/>
        </w:tabs>
        <w:numPr>
          <w:ilvl w:val="1"/>
          <w:numId w:val="80"/>
        </w:numPr>
        <w:rPr>
          <w:rFonts w:ascii="Arial" w:cs="Arial" w:eastAsia="Arial" w:hAnsi="Arial"/>
          <w:sz w:val="16"/>
          <w:szCs w:val="16"/>
          <w:color w:val="auto"/>
        </w:rPr>
      </w:pPr>
      <w:r>
        <w:rPr>
          <w:rFonts w:ascii="Arial" w:cs="Arial" w:eastAsia="Arial" w:hAnsi="Arial"/>
          <w:sz w:val="16"/>
          <w:szCs w:val="16"/>
          <w:color w:val="auto"/>
        </w:rPr>
        <w:t>Except as disclosed in the Prospectus, neither the Sponsor nor any officer, nor any affiliate of the Sponsor or any officer, nor any director of the Company, shall receive from the Company any finder’s fee, reimbursement, consulting fee, non-cash payments, monies in respect of any repayment of a loan or other compensation prior to, or in connection with any services rendered in order to effectuate, the consummation of the Company’s initial Business Combination (regardless of the type of transaction that it is), other than the following, none of which will be made from the proceeds held in the Trust Account prior to the completion of the initial Business Combination: repayment of a loan and advances up to an aggregate of $300,000 made to the Company by the Sponsor; payments to the Sponsor for certain office space, secretarial and administrative services as may be reasonably required by the Company of $10,000 per month; reimbursement for any reasonable out-of-pocket expenses related to identifying, investigating, negotiating and completing an initial Business Combination, and repayment of loans, if any, and on such terms as to be determined by the Company from time to time, made by the Sponsor or an affiliate of the Sponsor or any of the Company’s officers or directors to finance transaction costs in connection with an intended initial Business Combination, provided, that, if the Company does not consummate an initial Business Combination, a portion of the working capital held outside the Trust Account may be used by the Company to repay such loaned amounts so long as no proceeds from the Trust Account are used for such repayment. Up to $1,500,000 of such loans may be convertible into warrants at a price of $1.00 per warrant at the option of the lender. Such warrants would be identical to the Private Placement Warrants, including as to exercise price, exercisability and exercise period.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firstLine="656"/>
        <w:spacing w:after="0" w:line="259" w:lineRule="auto"/>
        <w:tabs>
          <w:tab w:leader="none" w:pos="1632"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Sponsor and each Insider has full right and power, without violating any agreement to which it is bound (including, without limitation, any non-competition or non-solicitation agreement with any employer or former employer), to enter into this Letter Agreement and, as applicable, to serve as an officer and/or director on the board of directors of the Company and hereby consents to being named in the Prospectus as an officer and/or director of the Company.</w:t>
      </w:r>
    </w:p>
    <w:p>
      <w:pPr>
        <w:spacing w:after="0" w:line="186" w:lineRule="exact"/>
        <w:rPr>
          <w:rFonts w:ascii="Arial" w:cs="Arial" w:eastAsia="Arial" w:hAnsi="Arial"/>
          <w:sz w:val="18"/>
          <w:szCs w:val="18"/>
          <w:color w:val="auto"/>
        </w:rPr>
      </w:pPr>
    </w:p>
    <w:p>
      <w:pPr>
        <w:jc w:val="both"/>
        <w:ind w:firstLine="656"/>
        <w:spacing w:after="0" w:line="283" w:lineRule="auto"/>
        <w:tabs>
          <w:tab w:leader="none" w:pos="1801" w:val="left"/>
        </w:tabs>
        <w:numPr>
          <w:ilvl w:val="1"/>
          <w:numId w:val="81"/>
        </w:numPr>
        <w:rPr>
          <w:rFonts w:ascii="Arial" w:cs="Arial" w:eastAsia="Arial" w:hAnsi="Arial"/>
          <w:sz w:val="16"/>
          <w:szCs w:val="16"/>
          <w:color w:val="auto"/>
        </w:rPr>
      </w:pPr>
      <w:r>
        <w:rPr>
          <w:rFonts w:ascii="Arial" w:cs="Arial" w:eastAsia="Arial" w:hAnsi="Arial"/>
          <w:sz w:val="16"/>
          <w:szCs w:val="16"/>
          <w:color w:val="auto"/>
        </w:rPr>
        <w:t>As used herein, (i)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shall mean a merger, capital stock exchange, asset acquisition, stock purchase, reorganization or similar business combination, involving the Company and one or more businesses; (ii)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shall mean the Class A common stock and Class B common stock; (iii) “</w:t>
      </w:r>
      <w:r>
        <w:rPr>
          <w:rFonts w:ascii="Arial" w:cs="Arial" w:eastAsia="Arial" w:hAnsi="Arial"/>
          <w:sz w:val="16"/>
          <w:szCs w:val="16"/>
          <w:b w:val="1"/>
          <w:bCs w:val="1"/>
          <w:i w:val="1"/>
          <w:iCs w:val="1"/>
          <w:color w:val="auto"/>
        </w:rPr>
        <w:t>Founder Shares</w:t>
      </w:r>
      <w:r>
        <w:rPr>
          <w:rFonts w:ascii="Arial" w:cs="Arial" w:eastAsia="Arial" w:hAnsi="Arial"/>
          <w:sz w:val="16"/>
          <w:szCs w:val="16"/>
          <w:color w:val="auto"/>
        </w:rPr>
        <w:t>” shall mean the 4,312,500 shares of Class B common stock issued and outstanding (up to 562,500 Shares of which are subject to complete or partial forfeiture if the over-allotment option is not exercised by the Underwriters); (iv) “</w:t>
      </w:r>
      <w:r>
        <w:rPr>
          <w:rFonts w:ascii="Arial" w:cs="Arial" w:eastAsia="Arial" w:hAnsi="Arial"/>
          <w:sz w:val="16"/>
          <w:szCs w:val="16"/>
          <w:b w:val="1"/>
          <w:bCs w:val="1"/>
          <w:i w:val="1"/>
          <w:iCs w:val="1"/>
          <w:color w:val="auto"/>
        </w:rPr>
        <w:t>Initial Stockholders</w:t>
      </w:r>
      <w:r>
        <w:rPr>
          <w:rFonts w:ascii="Arial" w:cs="Arial" w:eastAsia="Arial" w:hAnsi="Arial"/>
          <w:sz w:val="16"/>
          <w:szCs w:val="16"/>
          <w:color w:val="auto"/>
        </w:rPr>
        <w:t>” shall mean the Sponsor and any Insider that holds Founder Shares; (v) “</w:t>
      </w:r>
      <w:r>
        <w:rPr>
          <w:rFonts w:ascii="Arial" w:cs="Arial" w:eastAsia="Arial" w:hAnsi="Arial"/>
          <w:sz w:val="16"/>
          <w:szCs w:val="16"/>
          <w:b w:val="1"/>
          <w:bCs w:val="1"/>
          <w:i w:val="1"/>
          <w:iCs w:val="1"/>
          <w:color w:val="auto"/>
        </w:rPr>
        <w:t>Private Placement Warrants</w:t>
      </w:r>
      <w:r>
        <w:rPr>
          <w:rFonts w:ascii="Arial" w:cs="Arial" w:eastAsia="Arial" w:hAnsi="Arial"/>
          <w:sz w:val="16"/>
          <w:szCs w:val="16"/>
          <w:color w:val="auto"/>
        </w:rPr>
        <w:t>” shall mean the 3,500,000 Warrants (or 3,725,000 Warrants if the over-allotment option is exercised in full) that the Sponsor has agreed to purchase for an aggregate purchase price of $3,500,000 (or $3,725,000 if the over-allotment option is exercised in full), or $1.00 per Warrant, in a private placement that shall occur simultaneously with the consummation of the Public Offering; (vi) “</w:t>
      </w:r>
      <w:r>
        <w:rPr>
          <w:rFonts w:ascii="Arial" w:cs="Arial" w:eastAsia="Arial" w:hAnsi="Arial"/>
          <w:sz w:val="16"/>
          <w:szCs w:val="16"/>
          <w:b w:val="1"/>
          <w:bCs w:val="1"/>
          <w:i w:val="1"/>
          <w:iCs w:val="1"/>
          <w:color w:val="auto"/>
        </w:rPr>
        <w:t>Public Stockholders</w:t>
      </w:r>
      <w:r>
        <w:rPr>
          <w:rFonts w:ascii="Arial" w:cs="Arial" w:eastAsia="Arial" w:hAnsi="Arial"/>
          <w:sz w:val="16"/>
          <w:szCs w:val="16"/>
          <w:color w:val="auto"/>
        </w:rPr>
        <w:t>” shall mean the holders of securities issued in the Public Offering; (vii)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shall mean the trust fund into which a portion of the net proceeds of the Public Offering and the sale of the Private Placement Warrants shall be deposited;</w:t>
      </w:r>
    </w:p>
    <w:p>
      <w:pPr>
        <w:spacing w:after="0" w:line="5" w:lineRule="exact"/>
        <w:rPr>
          <w:rFonts w:ascii="Arial" w:cs="Arial" w:eastAsia="Arial" w:hAnsi="Arial"/>
          <w:sz w:val="16"/>
          <w:szCs w:val="16"/>
          <w:color w:val="auto"/>
        </w:rPr>
      </w:pPr>
    </w:p>
    <w:p>
      <w:pPr>
        <w:jc w:val="both"/>
        <w:ind w:firstLine="8"/>
        <w:spacing w:after="0" w:line="252" w:lineRule="auto"/>
        <w:tabs>
          <w:tab w:leader="none" w:pos="4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shall mean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 and (ix)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shall mean the Private Placement Warrants and public warrants.</w:t>
      </w:r>
    </w:p>
    <w:p>
      <w:pPr>
        <w:spacing w:after="0" w:line="192" w:lineRule="exact"/>
        <w:rPr>
          <w:rFonts w:ascii="Arial" w:cs="Arial" w:eastAsia="Arial" w:hAnsi="Arial"/>
          <w:sz w:val="18"/>
          <w:szCs w:val="18"/>
          <w:color w:val="auto"/>
        </w:rPr>
      </w:pPr>
    </w:p>
    <w:p>
      <w:pPr>
        <w:jc w:val="both"/>
        <w:ind w:firstLine="656"/>
        <w:spacing w:after="0" w:line="263" w:lineRule="auto"/>
        <w:tabs>
          <w:tab w:leader="none" w:pos="14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Company will maintain an insurance policy or policies providing directors’ and officers’ liability insurance, and each Director shall be covered by such policy or policies, in accordance with its or their terms, to the maximum extent of the coverage available for any of the Company’s directors or officers.</w:t>
      </w:r>
    </w:p>
    <w:p>
      <w:pPr>
        <w:spacing w:after="0" w:line="183" w:lineRule="exact"/>
        <w:rPr>
          <w:rFonts w:ascii="Arial" w:cs="Arial" w:eastAsia="Arial" w:hAnsi="Arial"/>
          <w:sz w:val="18"/>
          <w:szCs w:val="18"/>
          <w:color w:val="auto"/>
        </w:rPr>
      </w:pPr>
    </w:p>
    <w:p>
      <w:pPr>
        <w:jc w:val="both"/>
        <w:ind w:firstLine="656"/>
        <w:spacing w:after="0" w:line="301" w:lineRule="auto"/>
        <w:tabs>
          <w:tab w:leader="none" w:pos="1504"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656"/>
        <w:spacing w:after="0" w:line="259" w:lineRule="auto"/>
        <w:tabs>
          <w:tab w:leader="none" w:pos="1427"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and each Insider and their respective successors, heirs and assigns and permitted transferees.</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484"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Nothing in this Letter Agreement shall be construed to confer upon, or give to, any person or corporation other than the parties hereto any right, remedy or claim under or by reason of this Letter Agreement or of any covenant, condition, stipulation, promise or agreement hereof. All covenants, conditions, stipulations, promises and agreements contained in this Letter Agreement shall be for the sole and exclusive benefit of the parties hereto and their successors, heirs, personal representatives and assigns and permitted transferees.</w:t>
      </w:r>
    </w:p>
    <w:p>
      <w:pPr>
        <w:spacing w:after="0" w:line="186" w:lineRule="exact"/>
        <w:rPr>
          <w:rFonts w:ascii="Arial" w:cs="Arial" w:eastAsia="Arial" w:hAnsi="Arial"/>
          <w:sz w:val="18"/>
          <w:szCs w:val="18"/>
          <w:color w:val="auto"/>
        </w:rPr>
      </w:pPr>
    </w:p>
    <w:p>
      <w:pPr>
        <w:ind w:firstLine="656"/>
        <w:spacing w:after="0" w:line="277" w:lineRule="auto"/>
        <w:tabs>
          <w:tab w:leader="none" w:pos="146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Letter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4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186" w:lineRule="exact"/>
        <w:rPr>
          <w:rFonts w:ascii="Arial" w:cs="Arial" w:eastAsia="Arial" w:hAnsi="Arial"/>
          <w:sz w:val="18"/>
          <w:szCs w:val="18"/>
          <w:color w:val="auto"/>
        </w:rPr>
      </w:pPr>
    </w:p>
    <w:p>
      <w:pPr>
        <w:jc w:val="both"/>
        <w:ind w:firstLine="656"/>
        <w:spacing w:after="0" w:line="301" w:lineRule="auto"/>
        <w:tabs>
          <w:tab w:leader="none" w:pos="1533"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This Letter Agreement shall be governed by and construed and enforced in accordance with the laws of the State of New York. The parties hereto (i) all agree that any action, proceeding, claim or dispute arising out of, or relating in any way to, this Letter Agreement shall be brought and enforced in the courts of New York City, in the State of New York, and irrevocably submit to such jurisdiction and venue, which jurisdiction and venue shall be exclusive and (ii) waive any objection to such exclusive jurisdiction and venue or that such courts represent an inconvenient forum.</w:t>
      </w:r>
    </w:p>
    <w:p>
      <w:pPr>
        <w:spacing w:after="0" w:line="157" w:lineRule="exact"/>
        <w:rPr>
          <w:rFonts w:ascii="Arial" w:cs="Arial" w:eastAsia="Arial" w:hAnsi="Arial"/>
          <w:sz w:val="16"/>
          <w:szCs w:val="16"/>
          <w:color w:val="auto"/>
        </w:rPr>
      </w:pPr>
    </w:p>
    <w:p>
      <w:pPr>
        <w:ind w:firstLine="656"/>
        <w:spacing w:after="0" w:line="342" w:lineRule="auto"/>
        <w:tabs>
          <w:tab w:leader="none" w:pos="1416"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23" w:lineRule="exact"/>
        <w:rPr>
          <w:rFonts w:ascii="Arial" w:cs="Arial" w:eastAsia="Arial" w:hAnsi="Arial"/>
          <w:sz w:val="16"/>
          <w:szCs w:val="16"/>
          <w:color w:val="auto"/>
        </w:rPr>
      </w:pPr>
    </w:p>
    <w:p>
      <w:pPr>
        <w:jc w:val="both"/>
        <w:ind w:firstLine="656"/>
        <w:spacing w:after="0" w:line="263" w:lineRule="auto"/>
        <w:tabs>
          <w:tab w:leader="none" w:pos="145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Letter Agreement shall terminate on the earlier of (i) the expiration of the Lock-up Periods or (ii) the liquidation of the Company; provided, however, that this Letter Agreement shall earlier terminate in the event that the Public Offering is not consummated and closed by December 31, 2021; provided further that paragraph 4 of this Letter Agreement shall survive such liquidation.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ind w:left="452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AMCI SPONSOR II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Nimesh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Nimesh Patel</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Title: Sole Managing Member</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Nimesh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Nimesh Patel</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Brian Beem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Brian Beem</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Patrick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Patrick Murphy</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Hans Mende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Hans Mende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Jill Watz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Jill Watz</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Mark Pinho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Mark Pinho</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Walker Woodson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Walker Woodson</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Adrian Paterson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Adrian Paterson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306070</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94" w:name="page95"/>
    <w:bookmarkEnd w:id="94"/>
    <w:p>
      <w:pPr>
        <w:ind w:left="5640"/>
        <w:spacing w:after="0"/>
        <w:rPr>
          <w:sz w:val="20"/>
          <w:szCs w:val="20"/>
          <w:color w:val="auto"/>
        </w:rPr>
      </w:pPr>
      <w:r>
        <w:rPr>
          <w:rFonts w:ascii="Arial" w:cs="Arial" w:eastAsia="Arial" w:hAnsi="Arial"/>
          <w:sz w:val="18"/>
          <w:szCs w:val="18"/>
          <w:color w:val="auto"/>
        </w:rPr>
        <w:t>By: /s/ Kate Burson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Kate Burson</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AMCI Group, LLC Series 35</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Hans Mende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Hans Mende</w:t>
      </w:r>
    </w:p>
    <w:p>
      <w:pPr>
        <w:spacing w:after="0" w:line="23" w:lineRule="exact"/>
        <w:rPr>
          <w:sz w:val="20"/>
          <w:szCs w:val="20"/>
          <w:color w:val="auto"/>
        </w:rPr>
      </w:pPr>
    </w:p>
    <w:p>
      <w:pPr>
        <w:jc w:val="right"/>
        <w:ind w:right="2199"/>
        <w:spacing w:after="0"/>
        <w:rPr>
          <w:sz w:val="20"/>
          <w:szCs w:val="20"/>
          <w:color w:val="auto"/>
        </w:rPr>
      </w:pPr>
      <w:r>
        <w:rPr>
          <w:rFonts w:ascii="Arial" w:cs="Arial" w:eastAsia="Arial" w:hAnsi="Arial"/>
          <w:sz w:val="18"/>
          <w:szCs w:val="18"/>
          <w:color w:val="auto"/>
        </w:rPr>
        <w:t>Title: Authorized Signatory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AMCI ACQUISITION CORP. 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Nimesh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Nimesh Patel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35"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10.2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This Investment Management Trust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effective as of August 3, 2021 by and between AMCI Acquisition Corp. II,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 Continental Stock Transfer &amp; Trust Company, a New York corporation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Company’s registration statement on Form S-1, File No. 333-253107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and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 the initial public offering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of the Company’s units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each of which consists of one share of the Company’s Class A common stock, par value $0.0001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one-half of one redeemable warrant, has been declared effective as of the date hereof by the U.S. Securities and Exchange Commission; and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entered into an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with Evercore Group L.L.C., as representative (the “</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of the several underwriters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named therein; and</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WHEREAS, as described in the Prospectus, $150,000,000 of the gross proceeds of the Offering and sale of the Private Placement Warrants (as defined in the Underwriting Agreement) (or $172,500,000 if the Underwriters’ over-allotment option is exercised in full) will be delivered to the Trustee to be deposited and held in a segregated trust account located at all times in the United States (the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for the benefit of the Company and the holders of the Common Stock included in the Units issued in the Offering as hereinafter provided (the amount to be delivered to the Trustee (and any interest subsequently earned thereon) is referred to herein as the “</w:t>
      </w:r>
      <w:r>
        <w:rPr>
          <w:rFonts w:ascii="Arial" w:cs="Arial" w:eastAsia="Arial" w:hAnsi="Arial"/>
          <w:sz w:val="16"/>
          <w:szCs w:val="16"/>
          <w:b w:val="1"/>
          <w:bCs w:val="1"/>
          <w:i w:val="1"/>
          <w:iCs w:val="1"/>
          <w:color w:val="auto"/>
        </w:rPr>
        <w:t>Property</w:t>
      </w:r>
      <w:r>
        <w:rPr>
          <w:rFonts w:ascii="Arial" w:cs="Arial" w:eastAsia="Arial" w:hAnsi="Arial"/>
          <w:sz w:val="16"/>
          <w:szCs w:val="16"/>
          <w:color w:val="auto"/>
        </w:rPr>
        <w:t>,” the stockholders for whose benefit the Trustee shall hold the Property will be referred to as the “</w:t>
      </w:r>
      <w:r>
        <w:rPr>
          <w:rFonts w:ascii="Arial" w:cs="Arial" w:eastAsia="Arial" w:hAnsi="Arial"/>
          <w:sz w:val="16"/>
          <w:szCs w:val="16"/>
          <w:b w:val="1"/>
          <w:bCs w:val="1"/>
          <w:i w:val="1"/>
          <w:iCs w:val="1"/>
          <w:color w:val="auto"/>
        </w:rPr>
        <w:t>Public Stockholders</w:t>
      </w:r>
      <w:r>
        <w:rPr>
          <w:rFonts w:ascii="Arial" w:cs="Arial" w:eastAsia="Arial" w:hAnsi="Arial"/>
          <w:sz w:val="16"/>
          <w:szCs w:val="16"/>
          <w:color w:val="auto"/>
        </w:rPr>
        <w:t>,” and the Public Stockholders and the Company will be referred to together as the “</w:t>
      </w:r>
      <w:r>
        <w:rPr>
          <w:rFonts w:ascii="Arial" w:cs="Arial" w:eastAsia="Arial" w:hAnsi="Arial"/>
          <w:sz w:val="16"/>
          <w:szCs w:val="16"/>
          <w:b w:val="1"/>
          <w:bCs w:val="1"/>
          <w:i w:val="1"/>
          <w:iCs w:val="1"/>
          <w:color w:val="auto"/>
        </w:rPr>
        <w:t>Beneficiaries</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pursuant to the Underwriting Agreement, a portion of the Property equal to $5,250,000, or $6,037,500 if the Underwriters’ over-allotment option is exercised in full, is attributable to deferred underwriting discounts and commissions that will be payable by the Company to the Underwriters upon and concurrently with the consummation of the Business Combination (as defined below) (the “</w:t>
      </w:r>
      <w:r>
        <w:rPr>
          <w:rFonts w:ascii="Arial" w:cs="Arial" w:eastAsia="Arial" w:hAnsi="Arial"/>
          <w:sz w:val="17"/>
          <w:szCs w:val="17"/>
          <w:b w:val="1"/>
          <w:bCs w:val="1"/>
          <w:i w:val="1"/>
          <w:iCs w:val="1"/>
          <w:color w:val="auto"/>
        </w:rPr>
        <w:t>Deferred Discount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jc w:val="both"/>
        <w:ind w:firstLine="656"/>
        <w:spacing w:after="0" w:line="311" w:lineRule="auto"/>
        <w:tabs>
          <w:tab w:leader="none" w:pos="1441" w:val="left"/>
        </w:tabs>
        <w:numPr>
          <w:ilvl w:val="1"/>
          <w:numId w:val="84"/>
        </w:numPr>
        <w:rPr>
          <w:rFonts w:ascii="Arial" w:cs="Arial" w:eastAsia="Arial" w:hAnsi="Arial"/>
          <w:sz w:val="16"/>
          <w:szCs w:val="16"/>
          <w:color w:val="auto"/>
        </w:rPr>
      </w:pPr>
      <w:r>
        <w:rPr>
          <w:rFonts w:ascii="Arial" w:cs="Arial" w:eastAsia="Arial" w:hAnsi="Arial"/>
          <w:sz w:val="16"/>
          <w:szCs w:val="16"/>
          <w:color w:val="auto"/>
        </w:rPr>
        <w:t>Hold the Property in trust for the Beneficiaries in accordance with the terms of this Agreement in the Trust Account established by the Trustee in the United States at J.P. Morgan Chase Bank, N.A. (or at another U.S. chartered commercial bank with consolidated assets of $100 billion or more) in the United States, maintained by the Trustee and at a brokerage institution selected by the Trustee that is reasonably satisfactory to the Company;</w:t>
      </w:r>
    </w:p>
    <w:p>
      <w:pPr>
        <w:spacing w:after="0" w:line="148" w:lineRule="exact"/>
        <w:rPr>
          <w:rFonts w:ascii="Arial" w:cs="Arial" w:eastAsia="Arial" w:hAnsi="Arial"/>
          <w:sz w:val="16"/>
          <w:szCs w:val="16"/>
          <w:color w:val="auto"/>
        </w:rPr>
      </w:pPr>
    </w:p>
    <w:p>
      <w:pPr>
        <w:ind w:left="1400" w:hanging="744"/>
        <w:spacing w:after="0"/>
        <w:tabs>
          <w:tab w:leader="none" w:pos="14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jc w:val="both"/>
        <w:ind w:firstLine="656"/>
        <w:spacing w:after="0" w:line="255" w:lineRule="auto"/>
        <w:tabs>
          <w:tab w:leader="none" w:pos="1482"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 a timely manner, upon the written instruction of the Company, invest and reinvest the Property solely in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as determined by the Company; it being understood that the Trust Account will earn no interest while account funds are uninvested awaiting the Company’s instructions hereunder and the Trustee may earn bank credits or other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6" w:name="page97"/>
    <w:bookmarkEnd w:id="96"/>
    <w:p>
      <w:pPr>
        <w:ind w:firstLine="656"/>
        <w:spacing w:after="0" w:line="277" w:lineRule="auto"/>
        <w:tabs>
          <w:tab w:leader="none" w:pos="1411"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Collect and receive, when due, all interest or other income arising from the Property, which shall become part of the “Property,” as such term is used herein;</w:t>
      </w:r>
    </w:p>
    <w:p>
      <w:pPr>
        <w:spacing w:after="0" w:line="170" w:lineRule="exact"/>
        <w:rPr>
          <w:rFonts w:ascii="Arial" w:cs="Arial" w:eastAsia="Arial" w:hAnsi="Arial"/>
          <w:sz w:val="18"/>
          <w:szCs w:val="18"/>
          <w:color w:val="auto"/>
        </w:rPr>
      </w:pPr>
    </w:p>
    <w:p>
      <w:pPr>
        <w:ind w:firstLine="656"/>
        <w:spacing w:after="0" w:line="277" w:lineRule="auto"/>
        <w:tabs>
          <w:tab w:leader="none" w:pos="1603"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Promptly notify the Company and the Representative of all communications received by the Trustee with respect to any Property requiring action by the Company;</w:t>
      </w:r>
    </w:p>
    <w:p>
      <w:pPr>
        <w:spacing w:after="0" w:line="170" w:lineRule="exact"/>
        <w:rPr>
          <w:rFonts w:ascii="Arial" w:cs="Arial" w:eastAsia="Arial" w:hAnsi="Arial"/>
          <w:sz w:val="18"/>
          <w:szCs w:val="18"/>
          <w:color w:val="auto"/>
        </w:rPr>
      </w:pPr>
    </w:p>
    <w:p>
      <w:pPr>
        <w:ind w:firstLine="656"/>
        <w:spacing w:after="0" w:line="277" w:lineRule="auto"/>
        <w:tabs>
          <w:tab w:leader="none" w:pos="1422"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(or its authorized agents) in connection with the Company’s preparation of the tax returns relating to assets held in the Trust Account;</w:t>
      </w:r>
    </w:p>
    <w:p>
      <w:pPr>
        <w:spacing w:after="0" w:line="170" w:lineRule="exact"/>
        <w:rPr>
          <w:rFonts w:ascii="Arial" w:cs="Arial" w:eastAsia="Arial" w:hAnsi="Arial"/>
          <w:sz w:val="18"/>
          <w:szCs w:val="18"/>
          <w:color w:val="auto"/>
        </w:rPr>
      </w:pPr>
    </w:p>
    <w:p>
      <w:pPr>
        <w:ind w:firstLine="656"/>
        <w:spacing w:after="0" w:line="277" w:lineRule="auto"/>
        <w:tabs>
          <w:tab w:leader="none" w:pos="1397"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firstLine="656"/>
        <w:spacing w:after="0" w:line="277" w:lineRule="auto"/>
        <w:tabs>
          <w:tab w:leader="none" w:pos="1519"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w:t>
      </w:r>
    </w:p>
    <w:p>
      <w:pPr>
        <w:spacing w:after="0" w:line="170" w:lineRule="exact"/>
        <w:rPr>
          <w:rFonts w:ascii="Arial" w:cs="Arial" w:eastAsia="Arial" w:hAnsi="Arial"/>
          <w:sz w:val="18"/>
          <w:szCs w:val="18"/>
          <w:color w:val="auto"/>
        </w:rPr>
      </w:pPr>
    </w:p>
    <w:p>
      <w:pPr>
        <w:jc w:val="both"/>
        <w:ind w:firstLine="656"/>
        <w:spacing w:after="0" w:line="269" w:lineRule="auto"/>
        <w:tabs>
          <w:tab w:leader="none" w:pos="1493"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Commence liquidation of the Trust Account only after and promptly after (x) receipt of, and only in accordance with, the terms of a letter from the Company (“</w:t>
      </w:r>
      <w:r>
        <w:rPr>
          <w:rFonts w:ascii="Arial" w:cs="Arial" w:eastAsia="Arial" w:hAnsi="Arial"/>
          <w:sz w:val="17"/>
          <w:szCs w:val="17"/>
          <w:b w:val="1"/>
          <w:bCs w:val="1"/>
          <w:i w:val="1"/>
          <w:iCs w:val="1"/>
          <w:color w:val="auto"/>
        </w:rPr>
        <w:t>Termination Letter</w:t>
      </w:r>
      <w:r>
        <w:rPr>
          <w:rFonts w:ascii="Arial" w:cs="Arial" w:eastAsia="Arial" w:hAnsi="Arial"/>
          <w:sz w:val="17"/>
          <w:szCs w:val="17"/>
          <w:color w:val="auto"/>
        </w:rPr>
        <w:t xml:space="preserve">”) in a form substantially similar to that attached hereto as either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B</w:t>
      </w:r>
      <w:r>
        <w:rPr>
          <w:rFonts w:ascii="Arial" w:cs="Arial" w:eastAsia="Arial" w:hAnsi="Arial"/>
          <w:sz w:val="17"/>
          <w:szCs w:val="17"/>
          <w:color w:val="auto"/>
        </w:rPr>
        <w:t>, as applicable, signed on behalf of the Company by its Chief Executive Officer, Chief Financial Officer, President, Executive Vice President, Vice President, Secretary or Chairman of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or other authorized officer of the Company, and, in the case of Exhibit A, acknowledged and agreed to by the Representative, and complete the liquidation of the Trust Account and distribute the Property in the Trust Account, including interest earned on the funds held in the Trust Account (which interest shall be net of taxes payable and up to $100,000 of interest to pay dissolution expenses), only as directed in the Termination Letter and the other documents referred to therein, or (y) upon the date which is, the later of (1) 24 months after the closing of the Offering and (2) such later date as may be approved by the Company’s stockholders in accordance with the Company’s amended and restated certificate of incorporation if a Termination Letter has not been received by the Trustee prior to such date, in which case the Trust Account shall be liquidated in accordance with the procedures set forth in the Termination Letter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the Property in the Trust Account, including interest earned on the funds held in the Trust Account and not previously released to the Company to pay its taxes (less up to $100,000 of interest to pay dissolution expenses), shall be distributed to the Public Stockholders of record as of such date;</w:t>
      </w:r>
    </w:p>
    <w:p>
      <w:pPr>
        <w:spacing w:after="0" w:line="178" w:lineRule="exact"/>
        <w:rPr>
          <w:rFonts w:ascii="Arial" w:cs="Arial" w:eastAsia="Arial" w:hAnsi="Arial"/>
          <w:sz w:val="17"/>
          <w:szCs w:val="17"/>
          <w:color w:val="auto"/>
        </w:rPr>
      </w:pPr>
    </w:p>
    <w:p>
      <w:pPr>
        <w:jc w:val="both"/>
        <w:ind w:firstLine="656"/>
        <w:spacing w:after="0" w:line="269" w:lineRule="auto"/>
        <w:tabs>
          <w:tab w:leader="none" w:pos="1371"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Upon written request from the Company, which may be given from time to time in a form substantially similar to that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 “</w:t>
      </w:r>
      <w:r>
        <w:rPr>
          <w:rFonts w:ascii="Arial" w:cs="Arial" w:eastAsia="Arial" w:hAnsi="Arial"/>
          <w:sz w:val="17"/>
          <w:szCs w:val="17"/>
          <w:b w:val="1"/>
          <w:bCs w:val="1"/>
          <w:i w:val="1"/>
          <w:iCs w:val="1"/>
          <w:color w:val="auto"/>
        </w:rPr>
        <w:t>Tax Payment Withdrawal Instruction</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amount shall be delivered directly to the Company by electronic funds transfer or other method of prompt payment, and the Company shall forward such payment to the relevant taxing authority, so long as there is no reduction in the principal amount per share initially deposited in the Trust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there is not sufficient cash in the Trust Account to pay such tax obligation, the Trustee shall liquidate such assets held in the Trust Account as shall be designated by the Company in writing to make such distribution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656"/>
        <w:spacing w:after="0" w:line="253" w:lineRule="auto"/>
        <w:tabs>
          <w:tab w:leader="none" w:pos="1397"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Upon written request from the Company, which may be given from time to time in a form substantially similar to that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 “</w:t>
      </w:r>
      <w:r>
        <w:rPr>
          <w:rFonts w:ascii="Arial" w:cs="Arial" w:eastAsia="Arial" w:hAnsi="Arial"/>
          <w:sz w:val="18"/>
          <w:szCs w:val="18"/>
          <w:b w:val="1"/>
          <w:bCs w:val="1"/>
          <w:i w:val="1"/>
          <w:iCs w:val="1"/>
          <w:color w:val="auto"/>
        </w:rPr>
        <w:t>Stockholder Redemption Withdrawal Instruction</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Trustee shall distribute on behalf of the Company the amount requested by the Company to be used to redeem shares of Common Stock from Public Stockholders properly submitted in connection with a stockholder vote to approve an amendment to the Company’s amended and restated certificate of incorporation to modify the substance or timing of the Company’s obligation to redeem 100% of shares of Common Stock included in the Units sold in the Offering (the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public shares</w:t>
      </w:r>
      <w:r>
        <w:rPr>
          <w:rFonts w:ascii="Arial" w:cs="Arial" w:eastAsia="Arial" w:hAnsi="Arial"/>
          <w:sz w:val="18"/>
          <w:szCs w:val="18"/>
          <w:color w:val="auto"/>
        </w:rPr>
        <w:t>”) if the Company has not consummated an initial Business Combination within such time as is described in the Company’s amended and restated certificate of incorporation or with respect to any other material provisions relating to stockholders’ rights or pre-initial Business Combination activity. The written request of the Company referenced above shall constitute presumptive evidence that the Company is entitled to distribute said funds, and the Trustee shall have no responsibility to look beyond said request; and</w:t>
      </w:r>
    </w:p>
    <w:p>
      <w:pPr>
        <w:spacing w:after="0" w:line="196" w:lineRule="exact"/>
        <w:rPr>
          <w:rFonts w:ascii="Arial" w:cs="Arial" w:eastAsia="Arial" w:hAnsi="Arial"/>
          <w:sz w:val="18"/>
          <w:szCs w:val="18"/>
          <w:color w:val="auto"/>
        </w:rPr>
      </w:pPr>
    </w:p>
    <w:p>
      <w:pPr>
        <w:ind w:left="1360" w:hanging="704"/>
        <w:spacing w:after="0"/>
        <w:tabs>
          <w:tab w:leader="none" w:pos="13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Not make any withdrawals or distributions from the Trust Account other than pursuant to </w:t>
      </w:r>
      <w:r>
        <w:rPr>
          <w:rFonts w:ascii="Arial" w:cs="Arial" w:eastAsia="Arial" w:hAnsi="Arial"/>
          <w:sz w:val="18"/>
          <w:szCs w:val="18"/>
          <w:u w:val="single" w:color="auto"/>
          <w:color w:val="auto"/>
        </w:rPr>
        <w:t>Sections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1(k)</w:t>
      </w:r>
      <w:r>
        <w:rPr>
          <w:rFonts w:ascii="Arial" w:cs="Arial" w:eastAsia="Arial" w:hAnsi="Arial"/>
          <w:sz w:val="18"/>
          <w:szCs w:val="18"/>
          <w:color w:val="auto"/>
        </w:rPr>
        <w:t xml:space="preserve"> above.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522"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Give all instructions to the Trustee hereunder in writing, signed by the Company’s Chairman of the Board, Chief Executive Officer, Chief Financial Officer, President, Executive Vice President, Vice President or Secretary. In addition, except with respect to its duties under </w:t>
      </w:r>
      <w:r>
        <w:rPr>
          <w:rFonts w:ascii="Arial" w:cs="Arial" w:eastAsia="Arial" w:hAnsi="Arial"/>
          <w:sz w:val="18"/>
          <w:szCs w:val="18"/>
          <w:u w:val="single" w:color="auto"/>
          <w:color w:val="auto"/>
        </w:rPr>
        <w:t>Sections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1(k)</w:t>
      </w:r>
      <w:r>
        <w:rPr>
          <w:rFonts w:ascii="Arial" w:cs="Arial" w:eastAsia="Arial" w:hAnsi="Arial"/>
          <w:sz w:val="18"/>
          <w:szCs w:val="18"/>
          <w:color w:val="auto"/>
        </w:rPr>
        <w:t xml:space="preserve"> hereof, the Trustee shall be entitled to rely on, and shall be protected in relying on, any verbal or telephonic advice or instruction which it, in good faith and with reasonable care, believes to be given by any one of the persons authorized above to give written instructions, provided that the Company shall promptly confirm such instructions in writing;</w:t>
      </w:r>
    </w:p>
    <w:p>
      <w:pPr>
        <w:spacing w:after="0" w:line="187" w:lineRule="exact"/>
        <w:rPr>
          <w:rFonts w:ascii="Arial" w:cs="Arial" w:eastAsia="Arial" w:hAnsi="Arial"/>
          <w:sz w:val="18"/>
          <w:szCs w:val="18"/>
          <w:color w:val="auto"/>
        </w:rPr>
      </w:pPr>
    </w:p>
    <w:p>
      <w:pPr>
        <w:jc w:val="both"/>
        <w:ind w:firstLine="656"/>
        <w:spacing w:after="0" w:line="288" w:lineRule="auto"/>
        <w:tabs>
          <w:tab w:leader="none" w:pos="1559"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 this </w:t>
      </w:r>
      <w:r>
        <w:rPr>
          <w:rFonts w:ascii="Arial" w:cs="Arial" w:eastAsia="Arial" w:hAnsi="Arial"/>
          <w:sz w:val="16"/>
          <w:szCs w:val="16"/>
          <w:u w:val="single" w:color="auto"/>
          <w:color w:val="auto"/>
        </w:rPr>
        <w:t>Section 2(b)</w:t>
      </w:r>
      <w:r>
        <w:rPr>
          <w:rFonts w:ascii="Arial" w:cs="Arial" w:eastAsia="Arial" w:hAnsi="Arial"/>
          <w:sz w:val="16"/>
          <w:szCs w:val="16"/>
          <w:color w:val="auto"/>
        </w:rPr>
        <w:t>, it shall notify the Company in writing of such claim (hereinafter referred to as the “</w:t>
      </w:r>
      <w:r>
        <w:rPr>
          <w:rFonts w:ascii="Arial" w:cs="Arial" w:eastAsia="Arial" w:hAnsi="Arial"/>
          <w:sz w:val="16"/>
          <w:szCs w:val="16"/>
          <w:b w:val="1"/>
          <w:bCs w:val="1"/>
          <w:i w:val="1"/>
          <w:iCs w:val="1"/>
          <w:color w:val="auto"/>
        </w:rPr>
        <w:t>Indemnified Claim</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Trustee shall have the right to conduct and manage the defense against such Indemnified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shall obtain the consent of the Company with respect to the selection of counsel, which consent shall not be unreasonably withheld. The Trustee may not agree to settle any Indemnified Claim without the prior written consent of the Company, which such consent shall not be unreasonably withheld. The Company may participate in such action with its own counsel;</w:t>
      </w:r>
    </w:p>
    <w:p>
      <w:pPr>
        <w:spacing w:after="0" w:line="168" w:lineRule="exact"/>
        <w:rPr>
          <w:rFonts w:ascii="Arial" w:cs="Arial" w:eastAsia="Arial" w:hAnsi="Arial"/>
          <w:sz w:val="16"/>
          <w:szCs w:val="16"/>
          <w:color w:val="auto"/>
        </w:rPr>
      </w:pPr>
    </w:p>
    <w:p>
      <w:pPr>
        <w:jc w:val="both"/>
        <w:ind w:firstLine="656"/>
        <w:spacing w:after="0" w:line="296" w:lineRule="auto"/>
        <w:tabs>
          <w:tab w:leader="none" w:pos="1468"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Pay the Trustee the fees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including an initial acceptance fee, annual administration fee, and transaction processing fee which fees shall be subject to modification by the parties from time to time. It is expressly understood that the Property shall not be used to pay such fees unless and until it is distributed to the Company pursuant to </w:t>
      </w:r>
      <w:r>
        <w:rPr>
          <w:rFonts w:ascii="Arial" w:cs="Arial" w:eastAsia="Arial" w:hAnsi="Arial"/>
          <w:sz w:val="16"/>
          <w:szCs w:val="16"/>
          <w:u w:val="single" w:color="auto"/>
          <w:color w:val="auto"/>
        </w:rPr>
        <w:t>Sections 1(i)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1(j)</w:t>
      </w:r>
      <w:r>
        <w:rPr>
          <w:rFonts w:ascii="Arial" w:cs="Arial" w:eastAsia="Arial" w:hAnsi="Arial"/>
          <w:sz w:val="16"/>
          <w:szCs w:val="16"/>
          <w:color w:val="auto"/>
        </w:rPr>
        <w:t xml:space="preserve"> hereof. The Company shall pay the Trustee the initial acceptance fee and the first annual administration fee at the consummation of the Offering. The Company shall not be responsible for any other fees or charges of the Trustee except as set forth in this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Schedule A and as may be provided in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hereof;</w:t>
      </w:r>
    </w:p>
    <w:p>
      <w:pPr>
        <w:spacing w:after="0" w:line="161" w:lineRule="exact"/>
        <w:rPr>
          <w:rFonts w:ascii="Arial" w:cs="Arial" w:eastAsia="Arial" w:hAnsi="Arial"/>
          <w:sz w:val="16"/>
          <w:szCs w:val="16"/>
          <w:color w:val="auto"/>
        </w:rPr>
      </w:pPr>
    </w:p>
    <w:p>
      <w:pPr>
        <w:jc w:val="both"/>
        <w:ind w:firstLine="656"/>
        <w:spacing w:after="0" w:line="259" w:lineRule="auto"/>
        <w:tabs>
          <w:tab w:leader="none" w:pos="1667"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connection with any vote of the Company’s stockholders regarding a merger, capital stock exchange, asset acquisition, stock purchase, reorganization or similar business combination involving the Company and one or more businesses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provide to the Trustee an affidavit or certificate of the inspector of elections for the stockholder meeting verifying the vote of such stockholders regarding such Business Combination;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ind w:firstLine="656"/>
        <w:spacing w:after="0" w:line="277" w:lineRule="auto"/>
        <w:tabs>
          <w:tab w:leader="none" w:pos="1509" w:val="left"/>
        </w:tabs>
        <w:numPr>
          <w:ilvl w:val="1"/>
          <w:numId w:val="88"/>
        </w:numPr>
        <w:rPr>
          <w:rFonts w:ascii="Arial" w:cs="Arial" w:eastAsia="Arial" w:hAnsi="Arial"/>
          <w:sz w:val="18"/>
          <w:szCs w:val="18"/>
          <w:color w:val="auto"/>
        </w:rPr>
      </w:pPr>
      <w:r>
        <w:rPr>
          <w:rFonts w:ascii="Arial" w:cs="Arial" w:eastAsia="Arial" w:hAnsi="Arial"/>
          <w:sz w:val="18"/>
          <w:szCs w:val="18"/>
          <w:color w:val="auto"/>
        </w:rPr>
        <w:t>Provide the Representative with a copy of any Termination Letter(s) and/or any other correspondence that is sent to the Trustee with respect to any proposed withdrawal from the Trust Account promptly after it issues the same;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543"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Unless otherwise agreed between the Company and the Representative, ensure that any Instruction Letter (as defined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delivered in connection with a Termination Letter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expressly provides that the Deferred Discount is paid directly to the account or accounts directed by the Representative on behalf of the Underwriters prior to any transfer of the funds held in the Trust Account to the Company or any other person;</w:t>
      </w:r>
    </w:p>
    <w:p>
      <w:pPr>
        <w:spacing w:after="0" w:line="186" w:lineRule="exact"/>
        <w:rPr>
          <w:rFonts w:ascii="Arial" w:cs="Arial" w:eastAsia="Arial" w:hAnsi="Arial"/>
          <w:sz w:val="18"/>
          <w:szCs w:val="18"/>
          <w:color w:val="auto"/>
        </w:rPr>
      </w:pPr>
    </w:p>
    <w:p>
      <w:pPr>
        <w:ind w:firstLine="656"/>
        <w:spacing w:after="0" w:line="277" w:lineRule="auto"/>
        <w:tabs>
          <w:tab w:leader="none" w:pos="1411"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Instruct the Trustee to make only those distributions that are permitted under this Agreement, and refrain from instructing the Trustee to make any distributions that are not permitted under this Agreement;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532" w:val="left"/>
        </w:tabs>
        <w:numPr>
          <w:ilvl w:val="1"/>
          <w:numId w:val="88"/>
        </w:numPr>
        <w:rPr>
          <w:rFonts w:ascii="Arial" w:cs="Arial" w:eastAsia="Arial" w:hAnsi="Arial"/>
          <w:sz w:val="18"/>
          <w:szCs w:val="18"/>
          <w:color w:val="auto"/>
        </w:rPr>
      </w:pPr>
      <w:r>
        <w:rPr>
          <w:rFonts w:ascii="Arial" w:cs="Arial" w:eastAsia="Arial" w:hAnsi="Arial"/>
          <w:sz w:val="18"/>
          <w:szCs w:val="18"/>
          <w:color w:val="auto"/>
        </w:rPr>
        <w:t>Within four (4) business days after the Underwriters exercise the over-allotment option (or any unexercised portion thereof) or such over-allotment option expires, provide the Trustee with a notice in writing of the total amount of the Deferred Discount.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firstLine="656"/>
        <w:spacing w:after="0" w:line="277" w:lineRule="auto"/>
        <w:tabs>
          <w:tab w:leader="none" w:pos="159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w:t>
      </w:r>
    </w:p>
    <w:p>
      <w:pPr>
        <w:spacing w:after="0" w:line="170" w:lineRule="exact"/>
        <w:rPr>
          <w:rFonts w:ascii="Arial" w:cs="Arial" w:eastAsia="Arial" w:hAnsi="Arial"/>
          <w:sz w:val="18"/>
          <w:szCs w:val="18"/>
          <w:color w:val="auto"/>
        </w:rPr>
      </w:pPr>
    </w:p>
    <w:p>
      <w:pPr>
        <w:ind w:firstLine="656"/>
        <w:spacing w:after="0" w:line="277" w:lineRule="auto"/>
        <w:tabs>
          <w:tab w:leader="none" w:pos="1505"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Take any action with respect to the Property, other than as directed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and the Trustee shall have no liability to any third party except for liability arising out of the Trustee’s gross negligence, fraud or willful misconduct;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428"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83" w:lineRule="exact"/>
        <w:rPr>
          <w:rFonts w:ascii="Arial" w:cs="Arial" w:eastAsia="Arial" w:hAnsi="Arial"/>
          <w:sz w:val="18"/>
          <w:szCs w:val="18"/>
          <w:color w:val="auto"/>
        </w:rPr>
      </w:pPr>
    </w:p>
    <w:p>
      <w:pPr>
        <w:ind w:left="1400" w:hanging="744"/>
        <w:spacing w:after="0"/>
        <w:tabs>
          <w:tab w:leader="none" w:pos="14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firstLine="656"/>
        <w:spacing w:after="0" w:line="308" w:lineRule="auto"/>
        <w:tabs>
          <w:tab w:leader="none" w:pos="1590" w:val="left"/>
        </w:tabs>
        <w:numPr>
          <w:ilvl w:val="1"/>
          <w:numId w:val="89"/>
        </w:numPr>
        <w:rPr>
          <w:rFonts w:ascii="Arial" w:cs="Arial" w:eastAsia="Arial" w:hAnsi="Arial"/>
          <w:sz w:val="17"/>
          <w:szCs w:val="17"/>
          <w:color w:val="auto"/>
        </w:rPr>
      </w:pPr>
      <w:r>
        <w:rPr>
          <w:rFonts w:ascii="Arial" w:cs="Arial" w:eastAsia="Arial" w:hAnsi="Arial"/>
          <w:sz w:val="17"/>
          <w:szCs w:val="17"/>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46" w:lineRule="exact"/>
        <w:rPr>
          <w:rFonts w:ascii="Arial" w:cs="Arial" w:eastAsia="Arial" w:hAnsi="Arial"/>
          <w:sz w:val="17"/>
          <w:szCs w:val="17"/>
          <w:color w:val="auto"/>
        </w:rPr>
      </w:pPr>
    </w:p>
    <w:p>
      <w:pPr>
        <w:jc w:val="both"/>
        <w:ind w:firstLine="656"/>
        <w:spacing w:after="0" w:line="290" w:lineRule="auto"/>
        <w:tabs>
          <w:tab w:leader="none" w:pos="1476"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ind w:left="1400" w:hanging="744"/>
        <w:spacing w:after="0"/>
        <w:tabs>
          <w:tab w:leader="none" w:pos="14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Verify the accuracy of the information contained in the Registration Statement;</w:t>
      </w:r>
    </w:p>
    <w:p>
      <w:pPr>
        <w:spacing w:after="0" w:line="225" w:lineRule="exact"/>
        <w:rPr>
          <w:rFonts w:ascii="Arial" w:cs="Arial" w:eastAsia="Arial" w:hAnsi="Arial"/>
          <w:sz w:val="18"/>
          <w:szCs w:val="18"/>
          <w:color w:val="auto"/>
        </w:rPr>
      </w:pPr>
    </w:p>
    <w:p>
      <w:pPr>
        <w:ind w:right="20" w:firstLine="656"/>
        <w:spacing w:after="0" w:line="277" w:lineRule="auto"/>
        <w:tabs>
          <w:tab w:leader="none" w:pos="1532" w:val="left"/>
        </w:tabs>
        <w:numPr>
          <w:ilvl w:val="1"/>
          <w:numId w:val="90"/>
        </w:numPr>
        <w:rPr>
          <w:rFonts w:ascii="Arial" w:cs="Arial" w:eastAsia="Arial" w:hAnsi="Arial"/>
          <w:sz w:val="18"/>
          <w:szCs w:val="18"/>
          <w:color w:val="auto"/>
        </w:rPr>
      </w:pPr>
      <w:r>
        <w:rPr>
          <w:rFonts w:ascii="Arial" w:cs="Arial" w:eastAsia="Arial" w:hAnsi="Arial"/>
          <w:sz w:val="18"/>
          <w:szCs w:val="18"/>
          <w:color w:val="auto"/>
        </w:rPr>
        <w:t>Provide any assurance that any Business Combination entered into by the Company or any other action taken by the Company is as contemplated by the Registration Statement;</w:t>
      </w:r>
    </w:p>
    <w:p>
      <w:pPr>
        <w:spacing w:after="0" w:line="170" w:lineRule="exact"/>
        <w:rPr>
          <w:rFonts w:ascii="Arial" w:cs="Arial" w:eastAsia="Arial" w:hAnsi="Arial"/>
          <w:sz w:val="18"/>
          <w:szCs w:val="18"/>
          <w:color w:val="auto"/>
        </w:rPr>
      </w:pPr>
    </w:p>
    <w:p>
      <w:pPr>
        <w:ind w:right="20" w:firstLine="656"/>
        <w:spacing w:after="0" w:line="308" w:lineRule="auto"/>
        <w:tabs>
          <w:tab w:leader="none" w:pos="1466" w:val="left"/>
        </w:tabs>
        <w:numPr>
          <w:ilvl w:val="1"/>
          <w:numId w:val="90"/>
        </w:numPr>
        <w:rPr>
          <w:rFonts w:ascii="Arial" w:cs="Arial" w:eastAsia="Arial" w:hAnsi="Arial"/>
          <w:sz w:val="17"/>
          <w:szCs w:val="17"/>
          <w:color w:val="auto"/>
        </w:rPr>
      </w:pPr>
      <w:r>
        <w:rPr>
          <w:rFonts w:ascii="Arial" w:cs="Arial" w:eastAsia="Arial" w:hAnsi="Arial"/>
          <w:sz w:val="17"/>
          <w:szCs w:val="17"/>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574"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Prepare, execute and file tax reports, income or other tax returns and pay any taxes with respect to any income generated by, and activities relating to, the Trust Account, regardless of whether such tax is payable by the Trust Account or the Company, including, but not limited to, tax obligations, except pursuant to </w:t>
      </w:r>
      <w:r>
        <w:rPr>
          <w:rFonts w:ascii="Arial" w:cs="Arial" w:eastAsia="Arial" w:hAnsi="Arial"/>
          <w:sz w:val="18"/>
          <w:szCs w:val="18"/>
          <w:u w:val="single" w:color="auto"/>
          <w:color w:val="auto"/>
        </w:rPr>
        <w:t>Section 1(j)</w:t>
      </w:r>
      <w:r>
        <w:rPr>
          <w:rFonts w:ascii="Arial" w:cs="Arial" w:eastAsia="Arial" w:hAnsi="Arial"/>
          <w:sz w:val="18"/>
          <w:szCs w:val="18"/>
          <w:color w:val="auto"/>
        </w:rPr>
        <w:t xml:space="preserve"> hereof; or</w:t>
      </w:r>
    </w:p>
    <w:p>
      <w:pPr>
        <w:spacing w:after="0" w:line="183" w:lineRule="exact"/>
        <w:rPr>
          <w:rFonts w:ascii="Arial" w:cs="Arial" w:eastAsia="Arial" w:hAnsi="Arial"/>
          <w:sz w:val="18"/>
          <w:szCs w:val="18"/>
          <w:color w:val="auto"/>
        </w:rPr>
      </w:pPr>
    </w:p>
    <w:p>
      <w:pPr>
        <w:ind w:left="1580" w:hanging="924"/>
        <w:spacing w:after="0"/>
        <w:tabs>
          <w:tab w:leader="none" w:pos="1580" w:val="left"/>
        </w:tabs>
        <w:numPr>
          <w:ilvl w:val="1"/>
          <w:numId w:val="90"/>
        </w:numPr>
        <w:rPr>
          <w:rFonts w:ascii="Arial" w:cs="Arial" w:eastAsia="Arial" w:hAnsi="Arial"/>
          <w:sz w:val="17"/>
          <w:szCs w:val="17"/>
          <w:color w:val="auto"/>
        </w:rPr>
      </w:pPr>
      <w:r>
        <w:rPr>
          <w:rFonts w:ascii="Arial" w:cs="Arial" w:eastAsia="Arial" w:hAnsi="Arial"/>
          <w:sz w:val="17"/>
          <w:szCs w:val="17"/>
          <w:color w:val="auto"/>
        </w:rPr>
        <w:t xml:space="preserve">Verify calculations, qualify or otherwise approve the Company’s written requests for distributions pursuant to </w:t>
      </w:r>
      <w:r>
        <w:rPr>
          <w:rFonts w:ascii="Arial" w:cs="Arial" w:eastAsia="Arial" w:hAnsi="Arial"/>
          <w:sz w:val="17"/>
          <w:szCs w:val="17"/>
          <w:u w:val="single" w:color="auto"/>
          <w:color w:val="auto"/>
        </w:rPr>
        <w:t>Sections 1(i)</w:t>
      </w:r>
      <w:r>
        <w:rPr>
          <w:rFonts w:ascii="Arial" w:cs="Arial" w:eastAsia="Arial" w:hAnsi="Arial"/>
          <w:sz w:val="17"/>
          <w:szCs w:val="17"/>
          <w:color w:val="auto"/>
        </w:rPr>
        <w:t xml:space="preserve">, </w:t>
      </w:r>
      <w:r>
        <w:rPr>
          <w:rFonts w:ascii="Arial" w:cs="Arial" w:eastAsia="Arial" w:hAnsi="Arial"/>
          <w:sz w:val="17"/>
          <w:szCs w:val="17"/>
          <w:u w:val="single" w:color="auto"/>
          <w:color w:val="auto"/>
        </w:rPr>
        <w:t>1(j)</w:t>
      </w:r>
      <w:r>
        <w:rPr>
          <w:rFonts w:ascii="Arial" w:cs="Arial" w:eastAsia="Arial" w:hAnsi="Arial"/>
          <w:sz w:val="17"/>
          <w:szCs w:val="17"/>
          <w:color w:val="auto"/>
        </w:rPr>
        <w:t xml:space="preserve">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1(k)</w:t>
      </w:r>
      <w:r>
        <w:rPr>
          <w:rFonts w:ascii="Arial" w:cs="Arial" w:eastAsia="Arial" w:hAnsi="Arial"/>
          <w:sz w:val="18"/>
          <w:szCs w:val="18"/>
          <w:color w:val="auto"/>
        </w:rPr>
        <w:t xml:space="preserve"> hereof.</w:t>
      </w:r>
    </w:p>
    <w:p>
      <w:pPr>
        <w:spacing w:after="0" w:line="210" w:lineRule="exact"/>
        <w:rPr>
          <w:rFonts w:ascii="Arial" w:cs="Arial" w:eastAsia="Arial" w:hAnsi="Arial"/>
          <w:sz w:val="17"/>
          <w:szCs w:val="17"/>
          <w:color w:val="auto"/>
        </w:rPr>
      </w:pPr>
    </w:p>
    <w:p>
      <w:pPr>
        <w:jc w:val="both"/>
        <w:ind w:firstLine="8"/>
        <w:spacing w:after="0" w:line="257" w:lineRule="auto"/>
        <w:tabs>
          <w:tab w:leader="none" w:pos="756"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Trust Account Waiver</w:t>
      </w:r>
      <w:r>
        <w:rPr>
          <w:rFonts w:ascii="Arial" w:cs="Arial" w:eastAsia="Arial" w:hAnsi="Arial"/>
          <w:sz w:val="18"/>
          <w:szCs w:val="18"/>
          <w:color w:val="auto"/>
        </w:rPr>
        <w:t>. The Trustee has no right of set-off or any right, title, interest or claim of any kind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hereof, the Trustee shall pursue such Claim solely against the Company and its assets outside the Trust Account and not against the Property or any monies in the Trust Account.</w:t>
      </w:r>
    </w:p>
    <w:p>
      <w:pPr>
        <w:spacing w:after="0" w:line="187" w:lineRule="exact"/>
        <w:rPr>
          <w:rFonts w:ascii="Arial" w:cs="Arial" w:eastAsia="Arial" w:hAnsi="Arial"/>
          <w:sz w:val="18"/>
          <w:szCs w:val="18"/>
          <w:color w:val="auto"/>
        </w:rPr>
      </w:pPr>
    </w:p>
    <w:p>
      <w:pPr>
        <w:jc w:val="both"/>
        <w:ind w:firstLine="8"/>
        <w:spacing w:after="0" w:line="271" w:lineRule="auto"/>
        <w:tabs>
          <w:tab w:leader="none" w:pos="783"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Successor Trustee</w:t>
      </w:r>
      <w:r>
        <w:rPr>
          <w:rFonts w:ascii="Arial" w:cs="Arial" w:eastAsia="Arial" w:hAnsi="Arial"/>
          <w:sz w:val="17"/>
          <w:szCs w:val="17"/>
          <w:color w:val="auto"/>
        </w:rPr>
        <w:t xml:space="preserve">. 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and has agreed to become subject to the terms of this Agreement, the Trustee shall transfer the management of the Trust Account to the successor trustee, including but not limited to the transfer of copies of the reports and statements relating to the Trust Account, whereupon the Trustee’s rights and obligations under this Agreement shall cease;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78" w:lineRule="exact"/>
        <w:rPr>
          <w:rFonts w:ascii="Arial" w:cs="Arial" w:eastAsia="Arial" w:hAnsi="Arial"/>
          <w:sz w:val="17"/>
          <w:szCs w:val="17"/>
          <w:color w:val="auto"/>
        </w:rPr>
      </w:pPr>
    </w:p>
    <w:p>
      <w:pPr>
        <w:jc w:val="both"/>
        <w:ind w:firstLine="8"/>
        <w:spacing w:after="0" w:line="263" w:lineRule="auto"/>
        <w:tabs>
          <w:tab w:leader="none" w:pos="729"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terminate at such time that the Trustee has completed the liquidation of the Trust Account and its obligations in accordance with the provisions of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hereof and distributed the Property in accordance with the provisions of the Termination Letter, this Agreement shall terminate except with respect to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72" w:lineRule="auto"/>
        <w:tabs>
          <w:tab w:leader="none" w:pos="1522"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jc w:val="both"/>
        <w:ind w:firstLine="656"/>
        <w:spacing w:after="0" w:line="259" w:lineRule="auto"/>
        <w:tabs>
          <w:tab w:leader="none" w:pos="169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enforced in accordance with the laws of the State of New York. 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428"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This Agreement contains the entire agreement and understanding of the parties hereto with respect to the subject matter hereof. Subject to </w:t>
      </w:r>
      <w:r>
        <w:rPr>
          <w:rFonts w:ascii="Arial" w:cs="Arial" w:eastAsia="Arial" w:hAnsi="Arial"/>
          <w:sz w:val="18"/>
          <w:szCs w:val="18"/>
          <w:u w:val="single" w:color="auto"/>
          <w:color w:val="auto"/>
        </w:rPr>
        <w:t>Section 7(d)</w:t>
      </w:r>
      <w:r>
        <w:rPr>
          <w:rFonts w:ascii="Arial" w:cs="Arial" w:eastAsia="Arial" w:hAnsi="Arial"/>
          <w:sz w:val="18"/>
          <w:szCs w:val="18"/>
          <w:color w:val="auto"/>
        </w:rPr>
        <w:t xml:space="preserve"> hereof, this Agreement or any provision hereof may only be changed, amended or modified (other than to correct a typographical error) by a writing signed by each of the parties hereto.</w:t>
      </w:r>
    </w:p>
    <w:p>
      <w:pPr>
        <w:spacing w:after="0" w:line="183" w:lineRule="exact"/>
        <w:rPr>
          <w:rFonts w:ascii="Arial" w:cs="Arial" w:eastAsia="Arial" w:hAnsi="Arial"/>
          <w:sz w:val="18"/>
          <w:szCs w:val="18"/>
          <w:color w:val="auto"/>
        </w:rPr>
      </w:pPr>
    </w:p>
    <w:p>
      <w:pPr>
        <w:jc w:val="both"/>
        <w:ind w:firstLine="656"/>
        <w:spacing w:after="0" w:line="269" w:lineRule="auto"/>
        <w:tabs>
          <w:tab w:leader="none" w:pos="1397"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This Agreement or any provision hereof may only be changed, amended or modified pursuant to </w:t>
      </w:r>
      <w:r>
        <w:rPr>
          <w:rFonts w:ascii="Arial" w:cs="Arial" w:eastAsia="Arial" w:hAnsi="Arial"/>
          <w:sz w:val="17"/>
          <w:szCs w:val="17"/>
          <w:u w:val="single" w:color="auto"/>
          <w:color w:val="auto"/>
        </w:rPr>
        <w:t>Section 7(c)</w:t>
      </w:r>
      <w:r>
        <w:rPr>
          <w:rFonts w:ascii="Arial" w:cs="Arial" w:eastAsia="Arial" w:hAnsi="Arial"/>
          <w:sz w:val="17"/>
          <w:szCs w:val="17"/>
          <w:color w:val="auto"/>
        </w:rPr>
        <w:t xml:space="preserve"> hereof with the Consent of the Stockholders. For purposes of this </w:t>
      </w:r>
      <w:r>
        <w:rPr>
          <w:rFonts w:ascii="Arial" w:cs="Arial" w:eastAsia="Arial" w:hAnsi="Arial"/>
          <w:sz w:val="17"/>
          <w:szCs w:val="17"/>
          <w:u w:val="single" w:color="auto"/>
          <w:color w:val="auto"/>
        </w:rPr>
        <w:t>Section 7(d)</w:t>
      </w:r>
      <w:r>
        <w:rPr>
          <w:rFonts w:ascii="Arial" w:cs="Arial" w:eastAsia="Arial" w:hAnsi="Arial"/>
          <w:sz w:val="17"/>
          <w:szCs w:val="17"/>
          <w:color w:val="auto"/>
        </w:rPr>
        <w:t>, the “Consent of the Stockholders” means receipt by the Trustee of a certificate from the inspector of elections of the stockholder meeting certifying that the Company’s stockholders of record as of a record date established in accordance with Section 213(a) of the Delaware General Corporation Law, as amended (“DGCL”) (or any successor rule), who hold sixty-five percent (65%) or more of all then outstanding shares of the Common Stock and Class B common stock, par value $0.0001 per share, of the Company voting together as a single class, have voted in favor of such change, amendment or modification. No such amendment will affect any Public Stockholder who has otherwise indicated his election to redeem his shares of Common Stock in connection with a stockholder vote sought to amend this Agreement to modify the substance or timing of the Company’s obligation to redeem 100% of the Common Stock if the Company does not complete its initial Business Combination within the time frame specified in the Company’s amended and restated certificate of incorporation. Except for any liability arising out of the Trustee’s gross negligence, fraud or willful misconduct, the Trustee may rely conclusively on the certification from the inspector or elections referenced above and shall be relieved of all liability to any party for executing the proposed amendment in reliance thereon.</w:t>
      </w:r>
    </w:p>
    <w:p>
      <w:pPr>
        <w:spacing w:after="0" w:line="181" w:lineRule="exact"/>
        <w:rPr>
          <w:rFonts w:ascii="Arial" w:cs="Arial" w:eastAsia="Arial" w:hAnsi="Arial"/>
          <w:sz w:val="17"/>
          <w:szCs w:val="17"/>
          <w:color w:val="auto"/>
        </w:rPr>
      </w:pPr>
    </w:p>
    <w:p>
      <w:pPr>
        <w:jc w:val="both"/>
        <w:ind w:firstLine="656"/>
        <w:spacing w:after="0" w:line="263" w:lineRule="auto"/>
        <w:tabs>
          <w:tab w:leader="none" w:pos="138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State of New York, for purposes of resolving any disputes hereunder. AS TO ANY CLAIM, CROSS-CLAIM OR COUNTERCLAIM IN ANY WAY RELATING TO THIS AGREEMENT, EACH PARTY WAIVES THE RIGHT TO TRIAL BY JURY.</w:t>
      </w:r>
    </w:p>
    <w:p>
      <w:pPr>
        <w:spacing w:after="0" w:line="183" w:lineRule="exact"/>
        <w:rPr>
          <w:rFonts w:ascii="Arial" w:cs="Arial" w:eastAsia="Arial" w:hAnsi="Arial"/>
          <w:sz w:val="18"/>
          <w:szCs w:val="18"/>
          <w:color w:val="auto"/>
        </w:rPr>
      </w:pPr>
    </w:p>
    <w:p>
      <w:pPr>
        <w:ind w:firstLine="656"/>
        <w:spacing w:after="0" w:line="308" w:lineRule="auto"/>
        <w:tabs>
          <w:tab w:leader="none" w:pos="1449"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electronic mail:</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Francis Wolf &amp; Celeste Gonzalez</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fwolf@continentalstock.com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cgonzalez@continentalstock.com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AMCI Acquisition Corp. II</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600 Steamboat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Nimesh Patel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ind w:left="1300"/>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Elliott M. Smith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elliott.smith@whitecase.com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Evercore Group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55 East 52nd Street, 35th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10055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Neil Shah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Neil.Shah@evercore.com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Cravath, Swaine &amp; Moore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Andrew J. Pitts and Nicholas A. Dorsey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APitts@cravath.com and NDorsey@cravath.com</w:t>
      </w:r>
    </w:p>
    <w:p>
      <w:pPr>
        <w:spacing w:after="0" w:line="211" w:lineRule="exact"/>
        <w:rPr>
          <w:sz w:val="20"/>
          <w:szCs w:val="20"/>
          <w:color w:val="auto"/>
        </w:rPr>
      </w:pPr>
    </w:p>
    <w:p>
      <w:pPr>
        <w:jc w:val="both"/>
        <w:ind w:firstLine="656"/>
        <w:spacing w:after="0" w:line="311" w:lineRule="auto"/>
        <w:tabs>
          <w:tab w:leader="none" w:pos="1478" w:val="left"/>
        </w:tabs>
        <w:numPr>
          <w:ilvl w:val="0"/>
          <w:numId w:val="93"/>
        </w:numPr>
        <w:rPr>
          <w:rFonts w:ascii="Arial" w:cs="Arial" w:eastAsia="Arial" w:hAnsi="Arial"/>
          <w:sz w:val="16"/>
          <w:szCs w:val="16"/>
          <w:color w:val="auto"/>
        </w:rPr>
      </w:pPr>
      <w:r>
        <w:rPr>
          <w:rFonts w:ascii="Arial" w:cs="Arial" w:eastAsia="Arial" w:hAnsi="Arial"/>
          <w:sz w:val="16"/>
          <w:szCs w:val="16"/>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148" w:lineRule="exact"/>
        <w:rPr>
          <w:rFonts w:ascii="Arial" w:cs="Arial" w:eastAsia="Arial" w:hAnsi="Arial"/>
          <w:sz w:val="16"/>
          <w:szCs w:val="16"/>
          <w:color w:val="auto"/>
        </w:rPr>
      </w:pPr>
    </w:p>
    <w:p>
      <w:pPr>
        <w:ind w:firstLine="656"/>
        <w:spacing w:after="0" w:line="277" w:lineRule="auto"/>
        <w:tabs>
          <w:tab w:leader="none" w:pos="1681"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Agreement is the joint product of the Trustee and the Company and each provision hereof has been subject to the mutual consultation, negotiation and agreement of such parties and shall not be construed for or against any party hereto.</w:t>
      </w:r>
    </w:p>
    <w:p>
      <w:pPr>
        <w:spacing w:after="0" w:line="170" w:lineRule="exact"/>
        <w:rPr>
          <w:rFonts w:ascii="Arial" w:cs="Arial" w:eastAsia="Arial" w:hAnsi="Arial"/>
          <w:sz w:val="18"/>
          <w:szCs w:val="18"/>
          <w:color w:val="auto"/>
        </w:rPr>
      </w:pPr>
    </w:p>
    <w:p>
      <w:pPr>
        <w:ind w:firstLine="656"/>
        <w:spacing w:after="0" w:line="277" w:lineRule="auto"/>
        <w:tabs>
          <w:tab w:leader="none" w:pos="1412" w:val="left"/>
        </w:tabs>
        <w:numPr>
          <w:ilvl w:val="0"/>
          <w:numId w:val="93"/>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acknowledges and agrees that the Representative on behalf of the Underwriters are third-party beneficiaries of this Agreement.</w:t>
      </w:r>
    </w:p>
    <w:p>
      <w:pPr>
        <w:spacing w:after="0" w:line="170" w:lineRule="exact"/>
        <w:rPr>
          <w:rFonts w:ascii="Arial" w:cs="Arial" w:eastAsia="Arial" w:hAnsi="Arial"/>
          <w:sz w:val="18"/>
          <w:szCs w:val="18"/>
          <w:color w:val="auto"/>
        </w:rPr>
      </w:pPr>
    </w:p>
    <w:p>
      <w:pPr>
        <w:ind w:left="1420" w:hanging="764"/>
        <w:spacing w:after="0"/>
        <w:tabs>
          <w:tab w:leader="none" w:pos="14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Except as specified herein, no party to this Agreement may assign its rights or delegate its obligations hereunder to any other person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duly executed this Investment Management Trust Agreement as of the date first written above.</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CONTINENTAL STOCK TRANSFER &amp; TRUST COMPANY, as Trustee</w:t>
      </w:r>
    </w:p>
    <w:p>
      <w:pPr>
        <w:spacing w:after="0" w:line="200" w:lineRule="exact"/>
        <w:rPr>
          <w:sz w:val="20"/>
          <w:szCs w:val="20"/>
          <w:color w:val="auto"/>
        </w:rPr>
      </w:pPr>
    </w:p>
    <w:p>
      <w:pPr>
        <w:spacing w:after="0" w:line="241" w:lineRule="exact"/>
        <w:rPr>
          <w:sz w:val="20"/>
          <w:szCs w:val="20"/>
          <w:color w:val="auto"/>
        </w:rPr>
      </w:pPr>
    </w:p>
    <w:p>
      <w:pPr>
        <w:ind w:left="520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Francis Wolf</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Francis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-130175</wp:posOffset>
            </wp:positionV>
            <wp:extent cx="31375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jc w:val="center"/>
        <w:ind w:left="28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AMCI ACQUISITION CORP. II</w:t>
      </w:r>
    </w:p>
    <w:p>
      <w:pPr>
        <w:spacing w:after="0" w:line="225" w:lineRule="exact"/>
        <w:rPr>
          <w:sz w:val="20"/>
          <w:szCs w:val="20"/>
          <w:color w:val="auto"/>
        </w:rPr>
      </w:pPr>
    </w:p>
    <w:p>
      <w:pPr>
        <w:ind w:left="520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Nimesh Patel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Nimesh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-130175</wp:posOffset>
            </wp:positionV>
            <wp:extent cx="31375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Investment Management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103" w:name="page104"/>
    <w:bookmarkEnd w:id="103"/>
    <w:p>
      <w:pPr>
        <w:spacing w:after="0" w:line="200" w:lineRule="exact"/>
        <w:rPr>
          <w:sz w:val="20"/>
          <w:szCs w:val="20"/>
          <w:color w:val="auto"/>
        </w:rPr>
      </w:pPr>
    </w:p>
    <w:p>
      <w:pPr>
        <w:spacing w:after="0" w:line="245"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Fee Item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Initial set-up fee.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Trustee administration fee</w:t>
      </w:r>
    </w:p>
    <w:p>
      <w:pPr>
        <w:spacing w:after="0" w:line="21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 xml:space="preserve">Transaction processing fee for disbursements to Company under </w:t>
      </w:r>
      <w:r>
        <w:rPr>
          <w:rFonts w:ascii="Arial" w:cs="Arial" w:eastAsia="Arial" w:hAnsi="Arial"/>
          <w:sz w:val="17"/>
          <w:szCs w:val="17"/>
          <w:u w:val="single" w:color="auto"/>
          <w:color w:val="auto"/>
        </w:rPr>
        <w:t>Sections 1 and 2</w:t>
      </w:r>
    </w:p>
    <w:p>
      <w:pPr>
        <w:ind w:right="160"/>
        <w:spacing w:after="0" w:line="260" w:lineRule="auto"/>
        <w:rPr>
          <w:sz w:val="20"/>
          <w:szCs w:val="20"/>
          <w:color w:val="auto"/>
        </w:rPr>
      </w:pPr>
      <w:r>
        <w:rPr>
          <w:rFonts w:ascii="Arial" w:cs="Arial" w:eastAsia="Arial" w:hAnsi="Arial"/>
          <w:sz w:val="18"/>
          <w:szCs w:val="18"/>
          <w:color w:val="auto"/>
        </w:rPr>
        <w:t xml:space="preserve">Paying Agent services as required pursuant to </w:t>
      </w:r>
      <w:r>
        <w:rPr>
          <w:rFonts w:ascii="Arial" w:cs="Arial" w:eastAsia="Arial" w:hAnsi="Arial"/>
          <w:sz w:val="18"/>
          <w:szCs w:val="18"/>
          <w:u w:val="single" w:color="auto"/>
          <w:color w:val="auto"/>
        </w:rPr>
        <w:t>Section 1(i) and 1(k)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gridSpan w:val="4"/>
          </w:tcPr>
          <w:p>
            <w:pPr>
              <w:ind w:left="840"/>
              <w:spacing w:after="0"/>
              <w:rPr>
                <w:sz w:val="20"/>
                <w:szCs w:val="20"/>
                <w:color w:val="auto"/>
              </w:rPr>
            </w:pPr>
            <w:r>
              <w:rPr>
                <w:rFonts w:ascii="Arial" w:cs="Arial" w:eastAsia="Arial" w:hAnsi="Arial"/>
                <w:sz w:val="18"/>
                <w:szCs w:val="18"/>
                <w:b w:val="1"/>
                <w:bCs w:val="1"/>
                <w:color w:val="auto"/>
              </w:rPr>
              <w:t>SCHEDULE A</w:t>
            </w: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40" w:type="dxa"/>
            <w:vAlign w:val="bottom"/>
            <w:gridSpan w:val="3"/>
          </w:tcPr>
          <w:p>
            <w:pPr>
              <w:ind w:left="280"/>
              <w:spacing w:after="0"/>
              <w:rPr>
                <w:sz w:val="20"/>
                <w:szCs w:val="20"/>
                <w:color w:val="auto"/>
              </w:rPr>
            </w:pPr>
            <w:r>
              <w:rPr>
                <w:rFonts w:ascii="Arial" w:cs="Arial" w:eastAsia="Arial" w:hAnsi="Arial"/>
                <w:sz w:val="18"/>
                <w:szCs w:val="18"/>
                <w:b w:val="1"/>
                <w:bCs w:val="1"/>
                <w:color w:val="auto"/>
              </w:rPr>
              <w:t>Time and method of payment</w:t>
            </w:r>
          </w:p>
        </w:tc>
        <w:tc>
          <w:tcPr>
            <w:tcW w:w="340" w:type="dxa"/>
            <w:vAlign w:val="bottom"/>
          </w:tcPr>
          <w:p>
            <w:pPr>
              <w:spacing w:after="0"/>
              <w:rPr>
                <w:sz w:val="24"/>
                <w:szCs w:val="24"/>
                <w:color w:val="auto"/>
              </w:rPr>
            </w:pPr>
          </w:p>
        </w:tc>
        <w:tc>
          <w:tcPr>
            <w:tcW w:w="1480" w:type="dxa"/>
            <w:vAlign w:val="bottom"/>
            <w:gridSpan w:val="2"/>
          </w:tcPr>
          <w:p>
            <w:pPr>
              <w:ind w:left="240"/>
              <w:spacing w:after="0"/>
              <w:rPr>
                <w:sz w:val="20"/>
                <w:szCs w:val="20"/>
                <w:color w:val="auto"/>
              </w:rPr>
            </w:pPr>
            <w:r>
              <w:rPr>
                <w:rFonts w:ascii="Arial" w:cs="Arial" w:eastAsia="Arial" w:hAnsi="Arial"/>
                <w:sz w:val="18"/>
                <w:szCs w:val="18"/>
                <w:b w:val="1"/>
                <w:bCs w:val="1"/>
                <w:color w:val="auto"/>
              </w:rPr>
              <w:t>Amount</w:t>
            </w:r>
          </w:p>
        </w:tc>
      </w:tr>
      <w:tr>
        <w:trPr>
          <w:trHeight w:val="195"/>
        </w:trPr>
        <w:tc>
          <w:tcPr>
            <w:tcW w:w="20" w:type="dxa"/>
            <w:vAlign w:val="bottom"/>
          </w:tcPr>
          <w:p>
            <w:pPr>
              <w:spacing w:after="0"/>
              <w:rPr>
                <w:sz w:val="16"/>
                <w:szCs w:val="16"/>
                <w:color w:val="auto"/>
              </w:rPr>
            </w:pPr>
          </w:p>
        </w:tc>
        <w:tc>
          <w:tcPr>
            <w:tcW w:w="50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Initial closing of Offering by wire transfer.</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3,500.00</w:t>
            </w:r>
          </w:p>
        </w:tc>
        <w:tc>
          <w:tcPr>
            <w:tcW w:w="20" w:type="dxa"/>
            <w:vAlign w:val="bottom"/>
          </w:tcPr>
          <w:p>
            <w:pPr>
              <w:spacing w:after="0"/>
              <w:rPr>
                <w:sz w:val="16"/>
                <w:szCs w:val="16"/>
                <w:color w:val="auto"/>
              </w:rPr>
            </w:pPr>
          </w:p>
        </w:tc>
      </w:tr>
      <w:tr>
        <w:trPr>
          <w:trHeight w:val="216"/>
        </w:trPr>
        <w:tc>
          <w:tcPr>
            <w:tcW w:w="5160" w:type="dxa"/>
            <w:vAlign w:val="bottom"/>
            <w:gridSpan w:val="5"/>
          </w:tcPr>
          <w:p>
            <w:pPr>
              <w:spacing w:after="0"/>
              <w:rPr>
                <w:sz w:val="20"/>
                <w:szCs w:val="20"/>
                <w:color w:val="auto"/>
              </w:rPr>
            </w:pPr>
            <w:r>
              <w:rPr>
                <w:rFonts w:ascii="Arial" w:cs="Arial" w:eastAsia="Arial" w:hAnsi="Arial"/>
                <w:sz w:val="18"/>
                <w:szCs w:val="18"/>
                <w:color w:val="auto"/>
                <w:w w:val="94"/>
              </w:rPr>
              <w:t>Payable annually. First year fee payable, at initial closing of Offering</w:t>
            </w: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60" w:type="dxa"/>
            <w:vAlign w:val="bottom"/>
            <w:gridSpan w:val="5"/>
          </w:tcPr>
          <w:p>
            <w:pPr>
              <w:spacing w:after="0"/>
              <w:rPr>
                <w:sz w:val="20"/>
                <w:szCs w:val="20"/>
                <w:color w:val="auto"/>
              </w:rPr>
            </w:pPr>
            <w:r>
              <w:rPr>
                <w:rFonts w:ascii="Arial" w:cs="Arial" w:eastAsia="Arial" w:hAnsi="Arial"/>
                <w:sz w:val="18"/>
                <w:szCs w:val="18"/>
                <w:color w:val="auto"/>
              </w:rPr>
              <w:t>by wire transfer, thereafter by wire transfer or check.</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10,000.00</w:t>
            </w:r>
          </w:p>
        </w:tc>
      </w:tr>
      <w:tr>
        <w:trPr>
          <w:trHeight w:val="216"/>
        </w:trPr>
        <w:tc>
          <w:tcPr>
            <w:tcW w:w="5160" w:type="dxa"/>
            <w:vAlign w:val="bottom"/>
            <w:gridSpan w:val="5"/>
          </w:tcPr>
          <w:p>
            <w:pPr>
              <w:spacing w:after="0"/>
              <w:rPr>
                <w:sz w:val="20"/>
                <w:szCs w:val="20"/>
                <w:color w:val="auto"/>
              </w:rPr>
            </w:pPr>
            <w:r>
              <w:rPr>
                <w:rFonts w:ascii="Arial" w:cs="Arial" w:eastAsia="Arial" w:hAnsi="Arial"/>
                <w:sz w:val="18"/>
                <w:szCs w:val="18"/>
                <w:color w:val="auto"/>
                <w:w w:val="95"/>
              </w:rPr>
              <w:t>Billed to Company following disbursement made to Company under</w:t>
            </w: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112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87"/>
              </w:rPr>
              <w:t>Section 1 and 2</w:t>
            </w:r>
          </w:p>
        </w:tc>
        <w:tc>
          <w:tcPr>
            <w:tcW w:w="4040" w:type="dxa"/>
            <w:vAlign w:val="bottom"/>
            <w:gridSpan w:val="3"/>
          </w:tcPr>
          <w:p>
            <w:pPr>
              <w:spacing w:after="0"/>
              <w:rPr>
                <w:sz w:val="16"/>
                <w:szCs w:val="16"/>
                <w:color w:val="auto"/>
              </w:rPr>
            </w:pPr>
          </w:p>
        </w:tc>
        <w:tc>
          <w:tcPr>
            <w:tcW w:w="340" w:type="dxa"/>
            <w:vAlign w:val="bottom"/>
          </w:tcPr>
          <w:p>
            <w:pPr>
              <w:jc w:val="right"/>
              <w:ind w:right="150"/>
              <w:spacing w:after="0" w:line="190"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250.00</w:t>
            </w:r>
          </w:p>
        </w:tc>
      </w:tr>
      <w:tr>
        <w:trPr>
          <w:trHeight w:val="222"/>
        </w:trPr>
        <w:tc>
          <w:tcPr>
            <w:tcW w:w="5160" w:type="dxa"/>
            <w:vAlign w:val="bottom"/>
            <w:gridSpan w:val="5"/>
          </w:tcPr>
          <w:p>
            <w:pPr>
              <w:spacing w:after="0"/>
              <w:rPr>
                <w:sz w:val="20"/>
                <w:szCs w:val="20"/>
                <w:color w:val="auto"/>
              </w:rPr>
            </w:pPr>
            <w:r>
              <w:rPr>
                <w:rFonts w:ascii="Arial" w:cs="Arial" w:eastAsia="Arial" w:hAnsi="Arial"/>
                <w:sz w:val="18"/>
                <w:szCs w:val="18"/>
                <w:color w:val="auto"/>
              </w:rPr>
              <w:t>Billed to Company upon delivery of service pursuant to</w:t>
            </w: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5160" w:type="dxa"/>
            <w:vAlign w:val="bottom"/>
            <w:gridSpan w:val="5"/>
          </w:tcPr>
          <w:p>
            <w:pPr>
              <w:spacing w:after="0" w:line="190" w:lineRule="exact"/>
              <w:rPr>
                <w:sz w:val="20"/>
                <w:szCs w:val="20"/>
                <w:color w:val="auto"/>
              </w:rPr>
            </w:pPr>
            <w:r>
              <w:rPr>
                <w:rFonts w:ascii="Arial" w:cs="Arial" w:eastAsia="Arial" w:hAnsi="Arial"/>
                <w:sz w:val="18"/>
                <w:szCs w:val="18"/>
                <w:color w:val="auto"/>
              </w:rPr>
              <w:t>Section 1(i) and 1(k)</w:t>
            </w:r>
          </w:p>
        </w:tc>
        <w:tc>
          <w:tcPr>
            <w:tcW w:w="340" w:type="dxa"/>
            <w:vAlign w:val="bottom"/>
          </w:tcPr>
          <w:p>
            <w:pPr>
              <w:spacing w:after="0"/>
              <w:rPr>
                <w:sz w:val="16"/>
                <w:szCs w:val="16"/>
                <w:color w:val="auto"/>
              </w:rPr>
            </w:pPr>
          </w:p>
        </w:tc>
        <w:tc>
          <w:tcPr>
            <w:tcW w:w="1480" w:type="dxa"/>
            <w:vAlign w:val="bottom"/>
            <w:gridSpan w:val="2"/>
          </w:tcPr>
          <w:p>
            <w:pPr>
              <w:ind w:left="320"/>
              <w:spacing w:after="0" w:line="190" w:lineRule="exact"/>
              <w:rPr>
                <w:sz w:val="20"/>
                <w:szCs w:val="20"/>
                <w:color w:val="auto"/>
              </w:rPr>
            </w:pPr>
            <w:r>
              <w:rPr>
                <w:rFonts w:ascii="Arial" w:cs="Arial" w:eastAsia="Arial" w:hAnsi="Arial"/>
                <w:sz w:val="18"/>
                <w:szCs w:val="18"/>
                <w:color w:val="auto"/>
                <w:w w:val="91"/>
              </w:rPr>
              <w:t>Prevailing rates</w:t>
            </w:r>
          </w:p>
        </w:tc>
      </w:tr>
      <w:tr>
        <w:trPr>
          <w:trHeight w:val="912"/>
        </w:trPr>
        <w:tc>
          <w:tcPr>
            <w:tcW w:w="20" w:type="dxa"/>
            <w:vAlign w:val="bottom"/>
          </w:tcPr>
          <w:p>
            <w:pPr>
              <w:spacing w:after="0"/>
              <w:rPr>
                <w:sz w:val="24"/>
                <w:szCs w:val="24"/>
                <w:color w:val="auto"/>
              </w:rPr>
            </w:pPr>
          </w:p>
        </w:tc>
        <w:tc>
          <w:tcPr>
            <w:tcW w:w="1480" w:type="dxa"/>
            <w:vAlign w:val="bottom"/>
            <w:tcBorders>
              <w:top w:val="single" w:sz="8" w:color="auto"/>
            </w:tcBorders>
            <w:gridSpan w:val="2"/>
          </w:tcPr>
          <w:p>
            <w:pPr>
              <w:ind w:left="1380"/>
              <w:spacing w:after="0"/>
              <w:rPr>
                <w:sz w:val="20"/>
                <w:szCs w:val="20"/>
                <w:color w:val="auto"/>
              </w:rPr>
            </w:pPr>
            <w:r>
              <w:rPr>
                <w:rFonts w:ascii="Arial" w:cs="Arial" w:eastAsia="Arial" w:hAnsi="Arial"/>
                <w:sz w:val="18"/>
                <w:szCs w:val="18"/>
                <w:color w:val="auto"/>
                <w:w w:val="79"/>
              </w:rPr>
              <w:t>1</w:t>
            </w: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-1113790</wp:posOffset>
            </wp:positionV>
            <wp:extent cx="7132320" cy="274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-1533525</wp:posOffset>
            </wp:positionV>
            <wp:extent cx="7132320"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460" w:space="720"/>
            <w:col w:w="6960"/>
          </w:cols>
          <w:pgMar w:left="320" w:top="904" w:right="4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&amp; Celeste Gonzalez</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of the Investment Management Trust Agreement between AMCI Acquisition Corp. II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Stock Transfer &amp; Trust Company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dated as of , 2021 (the “</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this is to advise you that the Company has entered into an agreement with (the “</w:t>
      </w:r>
      <w:r>
        <w:rPr>
          <w:rFonts w:ascii="Arial" w:cs="Arial" w:eastAsia="Arial" w:hAnsi="Arial"/>
          <w:sz w:val="18"/>
          <w:szCs w:val="18"/>
          <w:b w:val="1"/>
          <w:bCs w:val="1"/>
          <w:i w:val="1"/>
          <w:iCs w:val="1"/>
          <w:color w:val="auto"/>
        </w:rPr>
        <w:t>Target Business</w:t>
      </w:r>
      <w:r>
        <w:rPr>
          <w:rFonts w:ascii="Arial" w:cs="Arial" w:eastAsia="Arial" w:hAnsi="Arial"/>
          <w:sz w:val="18"/>
          <w:szCs w:val="18"/>
          <w:color w:val="auto"/>
        </w:rPr>
        <w:t>”) to consummate a business combination with Target Business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xml:space="preserve">”) on or about </w:t>
      </w:r>
      <w:r>
        <w:rPr>
          <w:rFonts w:ascii="Arial" w:cs="Arial" w:eastAsia="Arial" w:hAnsi="Arial"/>
          <w:sz w:val="18"/>
          <w:szCs w:val="18"/>
          <w:b w:val="1"/>
          <w:bCs w:val="1"/>
          <w:color w:val="auto"/>
        </w:rPr>
        <w:t>[insert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The Company shall notify you at least seventy-two (72) hours in advance of the actual date (or such shorter period as you may agree)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the Business Combination (the “</w:t>
      </w:r>
      <w:r>
        <w:rPr>
          <w:rFonts w:ascii="Arial" w:cs="Arial" w:eastAsia="Arial" w:hAnsi="Arial"/>
          <w:sz w:val="18"/>
          <w:szCs w:val="18"/>
          <w:b w:val="1"/>
          <w:bCs w:val="1"/>
          <w:i w:val="1"/>
          <w:iCs w:val="1"/>
          <w:color w:val="auto"/>
        </w:rPr>
        <w:t>Consummation Date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Capitalized terms used but not defined herein shall have the meanings set forth in the Trust Agreement.</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the terms of the Trust Agreement, we hereby authorize you to commence to liquidate all of the assets of the Trust Account and to transfer the proceeds to a segregated account held by you on behalf of the Beneficiaries to the effect that, on the Consummation Date, all of the funds held in the Trust Operating Account at [JPMorgan Chase Bank, N.A.] will be immediately available for transfer to the account or accounts that the Company shall direct on the Consummation Date (including as directed to it by the Representative on behalf of the Underwriters (with respect to the Deferred Discount)).</w:t>
      </w:r>
    </w:p>
    <w:p>
      <w:pPr>
        <w:spacing w:after="0" w:line="18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 consummated, or will be consummated concurrently with your transfer of funds to the accounts as directed by the Company (the “</w:t>
      </w:r>
      <w:r>
        <w:rPr>
          <w:rFonts w:ascii="Arial" w:cs="Arial" w:eastAsia="Arial" w:hAnsi="Arial"/>
          <w:sz w:val="17"/>
          <w:szCs w:val="17"/>
          <w:b w:val="1"/>
          <w:bCs w:val="1"/>
          <w:i w:val="1"/>
          <w:iCs w:val="1"/>
          <w:color w:val="auto"/>
        </w:rPr>
        <w:t>Notification</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w:t>
      </w:r>
    </w:p>
    <w:p>
      <w:pPr>
        <w:jc w:val="both"/>
        <w:ind w:firstLine="8"/>
        <w:spacing w:after="0" w:line="268" w:lineRule="auto"/>
        <w:tabs>
          <w:tab w:leader="none" w:pos="304"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Company shall deliver to you (a) a certificate by the Chief Executive Officer or Chief Financial Officer, which verifies that the Business Combination has been approved by a vote of the Company’s stockholders, if a vote is held and (b) a joint written instruction signed by the Company and the Representative with respect to the transfer of the funds held in the Trust Account, including payment of amounts owed to public stockholders who have properly exercised their redemption rights and payment of the Deferred Discount directly to the account or accounts directed by the Representative from the Trust Account (the “</w:t>
      </w:r>
      <w:r>
        <w:rPr>
          <w:rFonts w:ascii="Arial" w:cs="Arial" w:eastAsia="Arial" w:hAnsi="Arial"/>
          <w:sz w:val="17"/>
          <w:szCs w:val="17"/>
          <w:b w:val="1"/>
          <w:bCs w:val="1"/>
          <w:i w:val="1"/>
          <w:iCs w:val="1"/>
          <w:color w:val="auto"/>
        </w:rPr>
        <w:t>Instruction Letter</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of the Trust Agreement on the business day immediately following the Consummation Date as set forth in such notice as soon thereafter as possible.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ind w:left="5860"/>
        <w:spacing w:after="0"/>
        <w:rPr>
          <w:sz w:val="20"/>
          <w:szCs w:val="20"/>
          <w:color w:val="auto"/>
        </w:rPr>
      </w:pPr>
      <w:r>
        <w:rPr>
          <w:rFonts w:ascii="Arial" w:cs="Arial" w:eastAsia="Arial" w:hAnsi="Arial"/>
          <w:sz w:val="18"/>
          <w:szCs w:val="18"/>
          <w:b w:val="1"/>
          <w:bCs w:val="1"/>
          <w:color w:val="auto"/>
        </w:rPr>
        <w:t>Very truly yours,</w:t>
      </w: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AMCI Acquisition Corp. II</w:t>
      </w:r>
    </w:p>
    <w:p>
      <w:pPr>
        <w:spacing w:after="0" w:line="23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Evercore Group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2143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&amp; Celeste Gonzalez</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of the Investment Management Trust Agreement between AMCI Acquisition Corp. II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Stock Transfer &amp; Trust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dated as of , 2021 (the “</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this is to advise you that the Company has been unable to effect a business combination with a Target Business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within the time frame specified in the Company’s Amended and Restated Certificate of Incorporation, as described in the Company’s Prospectus relating to the Offering. Capitalized terms used but not defined herein shall have the meanings set forth in the Trust Agreement.</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accordance with the terms of the Trust Agreement, we hereby authorize you to liquidate all of the assets in the Trust Operating Account and to transfer the total proceeds into a segregated account held by you on behalf of the Beneficiaries to await distribution to the Public Stockholders. The</w:t>
      </w:r>
    </w:p>
    <w:p>
      <w:pPr>
        <w:jc w:val="both"/>
        <w:spacing w:after="0" w:line="264" w:lineRule="auto"/>
        <w:rPr>
          <w:sz w:val="20"/>
          <w:szCs w:val="20"/>
          <w:color w:val="auto"/>
        </w:rPr>
      </w:pPr>
      <w:r>
        <w:rPr>
          <w:rFonts w:ascii="Arial" w:cs="Arial" w:eastAsia="Arial" w:hAnsi="Arial"/>
          <w:sz w:val="16"/>
          <w:szCs w:val="16"/>
          <w:color w:val="auto"/>
        </w:rPr>
        <w:t>Company has selected</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as the effective date for the purpose of determining when the Public Stockholders will be entitled to receive their share of the liquidation proceeds. You agree to be the Paying Agent of record and, in your separate capacity as Paying Agent, agree to distribute said funds directly to the Company’s Public Stockholders in accordance with the terms of the Trust Agreement and the Amended and Restated Certificate of Incorporation of the Company. Upon the distribution of all the funds, net of any payments necessary for reasonable unreimbursed expenses related to liquidating the Trust Account, your obligations under the Trust Agreement shall be terminated, except to the extent otherwise provided in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of the Trust Agreement.</w:t>
      </w:r>
    </w:p>
    <w:p>
      <w:pPr>
        <w:spacing w:after="0" w:line="18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AMCI Acquisition Corp. II</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340" w:hanging="332"/>
        <w:spacing w:after="0" w:line="194" w:lineRule="auto"/>
        <w:tabs>
          <w:tab w:leader="none" w:pos="340" w:val="left"/>
        </w:tabs>
        <w:numPr>
          <w:ilvl w:val="0"/>
          <w:numId w:val="95"/>
        </w:numPr>
        <w:rPr>
          <w:rFonts w:ascii="Arial" w:cs="Arial" w:eastAsia="Arial" w:hAnsi="Arial"/>
          <w:sz w:val="30"/>
          <w:szCs w:val="30"/>
          <w:color w:val="auto"/>
          <w:vertAlign w:val="superscript"/>
        </w:rPr>
      </w:pPr>
      <w:r>
        <w:rPr>
          <w:rFonts w:ascii="Arial" w:cs="Arial" w:eastAsia="Arial" w:hAnsi="Arial"/>
          <w:sz w:val="18"/>
          <w:szCs w:val="18"/>
          <w:color w:val="auto"/>
        </w:rPr>
        <w:t>24 months from the closing of the Offering or such later date as may be approved by the Company’s stockholders in accordance with the Company’s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&amp; Celeste Gonzalez</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 Tax Payment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1(j)</w:t>
      </w:r>
      <w:r>
        <w:rPr>
          <w:rFonts w:ascii="Arial" w:cs="Arial" w:eastAsia="Arial" w:hAnsi="Arial"/>
          <w:sz w:val="16"/>
          <w:szCs w:val="16"/>
          <w:color w:val="auto"/>
        </w:rPr>
        <w:t xml:space="preserve"> of the Investment Management Trust Agreement between AMCI Acquisition Corp. II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Stock Transfer &amp; Trust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dated as of , 2021 (the “</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hereby requests that you deliver to the Company $ of the interest income earned on the Property as of the date hereof. Capitalized terms used but not defined herein shall have the meanings set forth in the Trust Agreement.</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[WIRE INSTRUCTION INFORMATION]</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AMCI Acquisition Corp. II</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cc: 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&amp; Celeste Gonzalez</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 Stockholder Redemption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Gonzalez:</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1(k)</w:t>
      </w:r>
      <w:r>
        <w:rPr>
          <w:rFonts w:ascii="Arial" w:cs="Arial" w:eastAsia="Arial" w:hAnsi="Arial"/>
          <w:sz w:val="16"/>
          <w:szCs w:val="16"/>
          <w:color w:val="auto"/>
        </w:rPr>
        <w:t xml:space="preserve"> of the Investment Management Trust Agreement between AMCI Acquisition Corp. II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Stock Transfer &amp; Trust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dated as of , 2021 (the “</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hereby requests that you deliver to the redeeming Public Stockholders of the Company $ of the principal and interest income earned on the Property as of the date hereof to a</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segregated account held by you on behalf of the Beneficiaries. Capitalized terms used but not defined herein shall have the meanings set forth in the Trust Agreement.</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needs such funds to pay its Public Stockholders who have properly elected to have their shares of Common Stock redeemed by the Company in connection with a stockholder vote to approve an amendment to the Company’s amended and restated certificate of incorporation to modify the substance or timing of the Company’s obligation to redeem 100% of public shares of Common Stock if the Company has not consummated an initial Business Combination within such time as is described in the Company’s amended and restated certificate of incorporation or with respect to any other material provisions relating to stockholders’ rights or pre-initial Business Combination activity. As such, you are hereby directed and authorized to transfer (via wire transfer) such funds promptly upon your receipt of this letter to a segregated account held by you on behalf of the Beneficiaries.</w:t>
      </w:r>
    </w:p>
    <w:p>
      <w:pPr>
        <w:spacing w:after="0" w:line="16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AMCI Acquisition Corp. II</w:t>
      </w:r>
    </w:p>
    <w:p>
      <w:pPr>
        <w:spacing w:after="0" w:line="22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EXHIBIT 10.3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REGISTRATION RIGHTS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dated as of August 3, 2021, is made and entered into by and among AMCI Acquisition Corp. II,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AMCI Sponsor II LLC, a Delaware limited liability company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xml:space="preserve">”) and the undersigned parties listed on the signature page hereto under “Holders” (each such party, together with the Sponsor and any person or entity who hereafter becomes a party to this Agreement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of this Agreement, a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Holders</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4,312,500 shares of Class B common stock, par value $0.0001 per share (the “</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and</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up to 562,500 of which will be forfeited to the Company for no consideration depending on the extent to which the underwriters of the Company’s initial public offering exercise their over-allotment option;</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Founder Shares are convertible into shares of the Company’s Class A common stock, par value $0.0001 per share (the “</w:t>
      </w:r>
      <w:r>
        <w:rPr>
          <w:rFonts w:ascii="Arial" w:cs="Arial" w:eastAsia="Arial" w:hAnsi="Arial"/>
          <w:sz w:val="18"/>
          <w:szCs w:val="18"/>
          <w:b w:val="1"/>
          <w:bCs w:val="1"/>
          <w:i w:val="1"/>
          <w:iCs w:val="1"/>
          <w:color w:val="auto"/>
        </w:rPr>
        <w:t>Common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terms and conditions provided in the Company’s amended and restated certificate of incorporation;</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August 3, 2021, the Company and the Sponsor entered into that certain Private Placement Warrants Purchase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Private Placement Warrants Purchase Agreement</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pursuant to which the Sponsor agreed to purchase 3,500,000 private placement warrants (or up to 3,725,000 warrants to the extent that the over-allotment option in connection with the Company’s initial public offering is exercised) (the “</w:t>
      </w:r>
      <w:r>
        <w:rPr>
          <w:rFonts w:ascii="Arial" w:cs="Arial" w:eastAsia="Arial" w:hAnsi="Arial"/>
          <w:sz w:val="16"/>
          <w:szCs w:val="16"/>
          <w:b w:val="1"/>
          <w:bCs w:val="1"/>
          <w:i w:val="1"/>
          <w:iCs w:val="1"/>
          <w:color w:val="auto"/>
        </w:rPr>
        <w:t>Private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Placement Warrants</w:t>
      </w:r>
      <w:r>
        <w:rPr>
          <w:rFonts w:ascii="Arial" w:cs="Arial" w:eastAsia="Arial" w:hAnsi="Arial"/>
          <w:sz w:val="16"/>
          <w:szCs w:val="16"/>
          <w:color w:val="auto"/>
        </w:rPr>
        <w:t>”) in a private placement transaction occurring simultaneously with the closing of the Company’s initial public offering;</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finance the Company’s transaction costs in connection with its search for and consummation of an initial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(as defined below), the Sponsor or an affiliate of the Sponsor or certain of the Company’s officers and directors may loan to the Company funds as the Company may require, of which up to $1,500,000 of such loans may be convertible into private placement-equivalent warrants (“</w:t>
      </w:r>
      <w:r>
        <w:rPr>
          <w:rFonts w:ascii="Arial" w:cs="Arial" w:eastAsia="Arial" w:hAnsi="Arial"/>
          <w:sz w:val="18"/>
          <w:szCs w:val="18"/>
          <w:b w:val="1"/>
          <w:bCs w:val="1"/>
          <w:i w:val="1"/>
          <w:iCs w:val="1"/>
          <w:color w:val="auto"/>
        </w:rPr>
        <w:t>Working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Capital Warrants</w:t>
      </w:r>
      <w:r>
        <w:rPr>
          <w:rFonts w:ascii="Arial" w:cs="Arial" w:eastAsia="Arial" w:hAnsi="Arial"/>
          <w:sz w:val="18"/>
          <w:szCs w:val="18"/>
          <w:color w:val="auto"/>
        </w:rPr>
        <w:t>”) at a price of $1.00 per warrant at the option of the lender; and</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Holders desire to enter into this Agreement, pursuant to which the Company shall grant the Holders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rights with respect to certain securities of the Company, as set forth in this Agreement.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140" w:type="dxa"/>
            <w:vAlign w:val="bottom"/>
            <w:gridSpan w:val="2"/>
          </w:tcPr>
          <w:p>
            <w:pPr>
              <w:jc w:val="center"/>
              <w:ind w:right="5080"/>
              <w:spacing w:after="0"/>
              <w:rPr>
                <w:sz w:val="20"/>
                <w:szCs w:val="20"/>
                <w:color w:val="auto"/>
              </w:rPr>
            </w:pPr>
            <w:r>
              <w:rPr>
                <w:rFonts w:ascii="Arial" w:cs="Arial" w:eastAsia="Arial" w:hAnsi="Arial"/>
                <w:sz w:val="18"/>
                <w:szCs w:val="18"/>
                <w:color w:val="auto"/>
                <w:w w:val="99"/>
              </w:rPr>
              <w:t>ARTICLE I</w:t>
            </w:r>
          </w:p>
        </w:tc>
      </w:tr>
      <w:tr>
        <w:trPr>
          <w:trHeight w:val="230"/>
        </w:trPr>
        <w:tc>
          <w:tcPr>
            <w:tcW w:w="2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120" w:type="dxa"/>
            <w:vAlign w:val="bottom"/>
            <w:gridSpan w:val="3"/>
          </w:tcPr>
          <w:p>
            <w:pPr>
              <w:jc w:val="center"/>
              <w:ind w:right="3120"/>
              <w:spacing w:after="0"/>
              <w:rPr>
                <w:sz w:val="20"/>
                <w:szCs w:val="20"/>
                <w:color w:val="auto"/>
              </w:rPr>
            </w:pPr>
            <w:r>
              <w:rPr>
                <w:rFonts w:ascii="Arial" w:cs="Arial" w:eastAsia="Arial" w:hAnsi="Arial"/>
                <w:sz w:val="18"/>
                <w:szCs w:val="18"/>
                <w:color w:val="auto"/>
                <w:w w:val="98"/>
              </w:rPr>
              <w:t>DEFINITIONS</w:t>
            </w:r>
          </w:p>
        </w:tc>
      </w:tr>
      <w:tr>
        <w:trPr>
          <w:trHeight w:val="391"/>
        </w:trPr>
        <w:tc>
          <w:tcPr>
            <w:tcW w:w="2300" w:type="dxa"/>
            <w:vAlign w:val="bottom"/>
          </w:tcPr>
          <w:p>
            <w:pPr>
              <w:ind w:left="660"/>
              <w:spacing w:after="0"/>
              <w:rPr>
                <w:sz w:val="20"/>
                <w:szCs w:val="20"/>
                <w:color w:val="auto"/>
              </w:rPr>
            </w:pPr>
            <w:r>
              <w:rPr>
                <w:rFonts w:ascii="Arial" w:cs="Arial" w:eastAsia="Arial" w:hAnsi="Arial"/>
                <w:sz w:val="18"/>
                <w:szCs w:val="18"/>
                <w:color w:val="auto"/>
              </w:rPr>
              <w:t>Section 1.1</w:t>
            </w:r>
          </w:p>
        </w:tc>
        <w:tc>
          <w:tcPr>
            <w:tcW w:w="8940" w:type="dxa"/>
            <w:vAlign w:val="bottom"/>
            <w:gridSpan w:val="4"/>
          </w:tcPr>
          <w:p>
            <w:pPr>
              <w:spacing w:after="0"/>
              <w:rPr>
                <w:sz w:val="20"/>
                <w:szCs w:val="20"/>
                <w:color w:val="auto"/>
              </w:rPr>
            </w:pPr>
            <w:r>
              <w:rPr>
                <w:rFonts w:ascii="Arial" w:cs="Arial" w:eastAsia="Arial" w:hAnsi="Arial"/>
                <w:sz w:val="18"/>
                <w:szCs w:val="18"/>
                <w:color w:val="auto"/>
                <w:w w:val="93"/>
              </w:rPr>
              <w:t xml:space="preserve">Definitions. The terms defined in this </w:t>
            </w:r>
            <w:r>
              <w:rPr>
                <w:rFonts w:ascii="Arial" w:cs="Arial" w:eastAsia="Arial" w:hAnsi="Arial"/>
                <w:sz w:val="18"/>
                <w:szCs w:val="18"/>
                <w:i w:val="1"/>
                <w:iCs w:val="1"/>
                <w:color w:val="auto"/>
                <w:w w:val="93"/>
              </w:rPr>
              <w:t>Article I</w:t>
            </w:r>
            <w:r>
              <w:rPr>
                <w:rFonts w:ascii="Arial" w:cs="Arial" w:eastAsia="Arial" w:hAnsi="Arial"/>
                <w:sz w:val="18"/>
                <w:szCs w:val="18"/>
                <w:color w:val="auto"/>
                <w:w w:val="93"/>
              </w:rPr>
              <w:t xml:space="preserve"> shall, for all purposes of this Agreement, have the respective meanings set</w:t>
            </w:r>
          </w:p>
        </w:tc>
      </w:tr>
      <w:tr>
        <w:trPr>
          <w:trHeight w:val="237"/>
        </w:trPr>
        <w:tc>
          <w:tcPr>
            <w:tcW w:w="2300" w:type="dxa"/>
            <w:vAlign w:val="bottom"/>
          </w:tcPr>
          <w:p>
            <w:pPr>
              <w:spacing w:after="0"/>
              <w:rPr>
                <w:sz w:val="20"/>
                <w:szCs w:val="20"/>
                <w:color w:val="auto"/>
              </w:rPr>
            </w:pPr>
            <w:r>
              <w:rPr>
                <w:rFonts w:ascii="Arial" w:cs="Arial" w:eastAsia="Arial" w:hAnsi="Arial"/>
                <w:sz w:val="18"/>
                <w:szCs w:val="18"/>
                <w:color w:val="auto"/>
              </w:rPr>
              <w:t>forth below:</w:t>
            </w:r>
          </w:p>
        </w:tc>
        <w:tc>
          <w:tcPr>
            <w:tcW w:w="820" w:type="dxa"/>
            <w:vAlign w:val="bottom"/>
            <w:tcBorders>
              <w:top w:val="single" w:sz="8" w:color="auto"/>
            </w:tcBorders>
          </w:tcPr>
          <w:p>
            <w:pPr>
              <w:spacing w:after="0"/>
              <w:rPr>
                <w:sz w:val="20"/>
                <w:szCs w:val="20"/>
                <w:color w:val="auto"/>
              </w:rPr>
            </w:pPr>
          </w:p>
        </w:tc>
        <w:tc>
          <w:tcPr>
            <w:tcW w:w="19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54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Adverse Disclosure</w:t>
      </w:r>
      <w:r>
        <w:rPr>
          <w:rFonts w:ascii="Arial" w:cs="Arial" w:eastAsia="Arial" w:hAnsi="Arial"/>
          <w:sz w:val="16"/>
          <w:szCs w:val="16"/>
          <w:color w:val="auto"/>
        </w:rPr>
        <w:t>” shall mean any public disclosure of material non-public information, which disclosure, in the good faith judgment of the Chief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any merger, capital stock exchange, asset acquisition, stock purchase, reorganization or other similar business combination with one or more businesses, involving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shall have the meaning given in the Recitals hereto and shall be deemed to include the shares of Common Stock issuable upon conversion thereof.</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 shall mean, with respect to the Founder Shares, the period ending on the earlier of (A) one year after the completion of the Company’s initial Business Combination and (B) subsequent to the Business Combination, (x) if the closing price of the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 Letter</w:t>
      </w:r>
      <w:r>
        <w:rPr>
          <w:rFonts w:ascii="Arial" w:cs="Arial" w:eastAsia="Arial" w:hAnsi="Arial"/>
          <w:sz w:val="18"/>
          <w:szCs w:val="18"/>
          <w:color w:val="auto"/>
        </w:rPr>
        <w:t>” shall mean that certain letter agreement, dated as of August 3, 2021, by and among the Company, the Sponsor and each of the Company’s officers, directors and director nominees.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shall mean any person or entity to whom a Holder of Registrable Securities is permitted to transfer such Registrable Securities prior to the expiration of the Founder Shares Lock-up Period, Private Placement Lock-up Period or any other lock-up period, as the case may be, under the Insider Letter, the Private Placement Warrants Purchase Agreement, this Agreement and any other applicable agreement between such Holder and the Company, and to any transferee thereafter.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Lock-up Period</w:t>
      </w:r>
      <w:r>
        <w:rPr>
          <w:rFonts w:ascii="Arial" w:cs="Arial" w:eastAsia="Arial" w:hAnsi="Arial"/>
          <w:sz w:val="18"/>
          <w:szCs w:val="18"/>
          <w:color w:val="auto"/>
        </w:rPr>
        <w:t>” shall mean, with respect to Private Placement Warrants that are held by the initial purchasers of such Private Placement Warrants or their Permitted Transferees, the Private Placement Warrants and shares of Common Stock issuable upon the exercise or conversion of the Private Placement Warrants, and that are held by the initial purchasers of the Private Placement Warrants or their Permitted Transferees, the period ending 30 days after the completion of the Company’s initial Business Combination.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Warrants Purchase Agreement</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Security</w:t>
      </w:r>
      <w:r>
        <w:rPr>
          <w:rFonts w:ascii="Arial" w:cs="Arial" w:eastAsia="Arial" w:hAnsi="Arial"/>
          <w:sz w:val="16"/>
          <w:szCs w:val="16"/>
          <w:color w:val="auto"/>
        </w:rPr>
        <w:t xml:space="preserve">” shall mean (a) the Founder Shares and the shares of Common Stock issued or issuable upon the conversion of the Founder Shares, (b) the Private Placement Warrants (including any shares of Common Stock issued or issuable upon the exercise of the Private Placement Warrants), (c) any outstanding shares of Common Stock or any other equity security (including the shares of Common Stock issued or issuable upon the exercise of any other equity security) of the Company held by a Holder as of the date of this Agreement or acquired by a Holder prior to the consummation of the Business Combination, (d) any equity securities (including the shares of Common Stock issued or issuable upon the exercise of any such equity security) of the Company issuable upon conversion of any working capital loans in an amount up to $1,500,000 made to the Company by a Holder (including the Working Capital Warrants and shares of Common Stock issued or issuable upon the exercise of the Working Capital Warrants) and (e) any other equity security of the Company issued or issuable with respect to any such share of Common Stock by way of a stock dividend or stock split or in connection with a combination of shares, recapitalization, merger, consolidation or reorganization;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(or any successor rule promulgated thereafter by the Commission) (but with no volume or other restrictions or limitations); or (E) such securities have been sold to, or through, a broker, dealer or underwriter in a public distribution or other public securities transaction.</w:t>
      </w:r>
    </w:p>
    <w:p>
      <w:pPr>
        <w:spacing w:after="0" w:line="1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225" w:lineRule="exact"/>
        <w:rPr>
          <w:sz w:val="20"/>
          <w:szCs w:val="20"/>
          <w:color w:val="auto"/>
        </w:rPr>
      </w:pPr>
    </w:p>
    <w:p>
      <w:pPr>
        <w:ind w:left="660" w:firstLine="644"/>
        <w:spacing w:after="0" w:line="277" w:lineRule="auto"/>
        <w:tabs>
          <w:tab w:leader="none" w:pos="2551"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70" w:lineRule="exact"/>
        <w:rPr>
          <w:rFonts w:ascii="Arial" w:cs="Arial" w:eastAsia="Arial" w:hAnsi="Arial"/>
          <w:sz w:val="18"/>
          <w:szCs w:val="18"/>
          <w:color w:val="auto"/>
        </w:rPr>
      </w:pPr>
    </w:p>
    <w:p>
      <w:pPr>
        <w:ind w:left="660" w:firstLine="644"/>
        <w:spacing w:after="0" w:line="277" w:lineRule="auto"/>
        <w:tabs>
          <w:tab w:leader="none" w:pos="2345" w:val="left"/>
        </w:tabs>
        <w:numPr>
          <w:ilvl w:val="0"/>
          <w:numId w:val="96"/>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2220" w:hanging="916"/>
        <w:spacing w:after="0"/>
        <w:tabs>
          <w:tab w:leader="none" w:pos="2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25" w:lineRule="exact"/>
        <w:rPr>
          <w:rFonts w:ascii="Arial" w:cs="Arial" w:eastAsia="Arial" w:hAnsi="Arial"/>
          <w:sz w:val="18"/>
          <w:szCs w:val="18"/>
          <w:color w:val="auto"/>
        </w:rPr>
      </w:pPr>
    </w:p>
    <w:p>
      <w:pPr>
        <w:ind w:left="660" w:firstLine="644"/>
        <w:spacing w:after="0" w:line="277" w:lineRule="auto"/>
        <w:tabs>
          <w:tab w:leader="none" w:pos="2295"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70" w:lineRule="exact"/>
        <w:rPr>
          <w:rFonts w:ascii="Arial" w:cs="Arial" w:eastAsia="Arial" w:hAnsi="Arial"/>
          <w:sz w:val="18"/>
          <w:szCs w:val="18"/>
          <w:color w:val="auto"/>
        </w:rPr>
      </w:pPr>
    </w:p>
    <w:p>
      <w:pPr>
        <w:ind w:left="660" w:firstLine="644"/>
        <w:spacing w:after="0" w:line="277" w:lineRule="auto"/>
        <w:tabs>
          <w:tab w:leader="none" w:pos="2563"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majority-in-interest of the Demanding Holders initiating a Demand Registration to be registered for offer and sale in the applicable Registration.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Warrants</w:t>
      </w:r>
      <w:r>
        <w:rPr>
          <w:rFonts w:ascii="Arial" w:cs="Arial" w:eastAsia="Arial" w:hAnsi="Arial"/>
          <w:sz w:val="18"/>
          <w:szCs w:val="18"/>
          <w:color w:val="auto"/>
        </w:rPr>
        <w:t>” shall have the meaning given in the Recitals hereto.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REGISTRATIONS</w:t>
      </w:r>
    </w:p>
    <w:p>
      <w:pPr>
        <w:spacing w:after="0" w:line="211"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color w:val="auto"/>
        </w:rPr>
        <w:t>Demand Registration.</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Section 2.4 hereof, at any time and from time to time on or after the date the Company consummates the Business Combination, the Holders of at least fifteen percent (15%) of the then-outstanding number of Registrable Securities (the “</w:t>
      </w:r>
      <w:r>
        <w:rPr>
          <w:rFonts w:ascii="Arial" w:cs="Arial" w:eastAsia="Arial" w:hAnsi="Arial"/>
          <w:sz w:val="16"/>
          <w:szCs w:val="16"/>
          <w:b w:val="1"/>
          <w:bCs w:val="1"/>
          <w:i w:val="1"/>
          <w:iCs w:val="1"/>
          <w:color w:val="auto"/>
        </w:rPr>
        <w:t>Demanding Holders</w:t>
      </w:r>
      <w:r>
        <w:rPr>
          <w:rFonts w:ascii="Arial" w:cs="Arial" w:eastAsia="Arial" w:hAnsi="Arial"/>
          <w:sz w:val="16"/>
          <w:szCs w:val="16"/>
          <w:color w:val="auto"/>
        </w:rPr>
        <w:t>”) may make a written demand for Registration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xml:space="preserve">”) shall so notify the Company, in writing, within five (5)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with respect to any or all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Registration shall not be counted for such purposes unless a Form S-1 or any similar long-form registration statement that may be available at such time (“</w:t>
      </w:r>
      <w:r>
        <w:rPr>
          <w:rFonts w:ascii="Arial" w:cs="Arial" w:eastAsia="Arial" w:hAnsi="Arial"/>
          <w:sz w:val="16"/>
          <w:szCs w:val="16"/>
          <w:b w:val="1"/>
          <w:bCs w:val="1"/>
          <w:i w:val="1"/>
          <w:iCs w:val="1"/>
          <w:color w:val="auto"/>
        </w:rPr>
        <w:t>Form S-1</w:t>
      </w:r>
      <w:r>
        <w:rPr>
          <w:rFonts w:ascii="Arial" w:cs="Arial" w:eastAsia="Arial" w:hAnsi="Arial"/>
          <w:sz w:val="16"/>
          <w:szCs w:val="16"/>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this Agreement.</w:t>
      </w:r>
    </w:p>
    <w:p>
      <w:pPr>
        <w:spacing w:after="0" w:line="17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8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jc w:val="both"/>
        <w:ind w:firstLine="1296"/>
        <w:spacing w:after="0" w:line="285"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Underwritten Offering</w:t>
      </w:r>
      <w:r>
        <w:rPr>
          <w:rFonts w:ascii="Arial" w:cs="Arial" w:eastAsia="Arial" w:hAnsi="Arial"/>
          <w:sz w:val="16"/>
          <w:szCs w:val="16"/>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Common Stock or other equity securities that the Company desires to sell and the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6"/>
          <w:szCs w:val="16"/>
          <w:b w:val="1"/>
          <w:bCs w:val="1"/>
          <w:i w:val="1"/>
          <w:iCs w:val="1"/>
          <w:color w:val="auto"/>
        </w:rPr>
        <w:t>Maximum Number of Securities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Arial" w:cs="Arial" w:eastAsia="Arial" w:hAnsi="Arial"/>
          <w:sz w:val="16"/>
          <w:szCs w:val="16"/>
          <w:b w:val="1"/>
          <w:bCs w:val="1"/>
          <w:i w:val="1"/>
          <w:iCs w:val="1"/>
          <w:color w:val="auto"/>
        </w:rPr>
        <w:t>Pro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Rata</w:t>
      </w:r>
      <w:r>
        <w:rPr>
          <w:rFonts w:ascii="Arial" w:cs="Arial" w:eastAsia="Arial" w:hAnsi="Arial"/>
          <w:sz w:val="16"/>
          <w:szCs w:val="16"/>
          <w:color w:val="auto"/>
        </w:rPr>
        <w:t>”)) that can be sold without exceeding the Maximum Number of Securities; (ii) second, to the extent that the Maximum Number of Securities has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been reached under the foregoing clause (i), the Registrable Securities of Holders (Pro Rata, based on the respective number of Registrable Securities that each Holder has so requested)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hereof, without exceeding the Maximum Number of Securities; and (iii) third, to the extent that the Maximum Number of Securities has not been reached under the foregoing clauses (i) and (ii), the Common Stock or other equity securities that the Company desires to sell, which can be sold without exceeding the Maximum Number of Securities; and (iv) fourth, to the extent that the Maximum Number of Securities has not been reached under the foregoing clauses (i), (ii) and (iii), the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6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majority-in-interest of the Demanding Holders initiating a Demand Registration or a majority-in- interest of the Requesting Holders (if any), pursuant to a Registration under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ind w:left="660"/>
        <w:spacing w:after="0"/>
        <w:tabs>
          <w:tab w:leader="none" w:pos="212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Piggyback Registration.</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Arial" w:cs="Arial" w:eastAsia="Arial" w:hAnsi="Arial"/>
          <w:sz w:val="16"/>
          <w:szCs w:val="16"/>
          <w:b w:val="1"/>
          <w:bCs w:val="1"/>
          <w:i w:val="1"/>
          <w:iCs w:val="1"/>
          <w:color w:val="auto"/>
        </w:rPr>
        <w:t>Piggyback Registration</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shall enter into an underwriting agreement in customary form with the Underwriter(s) selected for such Underwritten Offering by the Company.</w:t>
      </w:r>
    </w:p>
    <w:p>
      <w:pPr>
        <w:spacing w:after="0" w:line="174"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u w:val="single" w:color="auto"/>
          <w:color w:val="auto"/>
        </w:rPr>
        <w:t>Reduction of Piggyback Registration</w:t>
      </w:r>
      <w:r>
        <w:rPr>
          <w:rFonts w:ascii="Arial" w:cs="Arial" w:eastAsia="Arial" w:hAnsi="Arial"/>
          <w:sz w:val="16"/>
          <w:szCs w:val="16"/>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and</w:t>
      </w:r>
    </w:p>
    <w:p>
      <w:pPr>
        <w:spacing w:after="0" w:line="2" w:lineRule="exact"/>
        <w:rPr>
          <w:sz w:val="20"/>
          <w:szCs w:val="20"/>
          <w:color w:val="auto"/>
        </w:rPr>
      </w:pPr>
    </w:p>
    <w:p>
      <w:pPr>
        <w:ind w:right="20" w:firstLine="8"/>
        <w:spacing w:after="0" w:line="260" w:lineRule="auto"/>
        <w:tabs>
          <w:tab w:leader="none" w:pos="31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shares of Common Stock, if any, as to which Registration has been requested pursuant to separate written contractual piggy-back registration rights of other stockholders of the Company, exceeds the Maximum Number of Securities, then:</w:t>
      </w:r>
    </w:p>
    <w:p>
      <w:pPr>
        <w:spacing w:after="0" w:line="185" w:lineRule="exact"/>
        <w:rPr>
          <w:rFonts w:ascii="Arial" w:cs="Arial" w:eastAsia="Arial" w:hAnsi="Arial"/>
          <w:sz w:val="18"/>
          <w:szCs w:val="18"/>
          <w:color w:val="auto"/>
        </w:rPr>
      </w:pPr>
    </w:p>
    <w:p>
      <w:pPr>
        <w:ind w:left="3000" w:hanging="1048"/>
        <w:spacing w:after="0"/>
        <w:tabs>
          <w:tab w:leader="none" w:pos="3000" w:val="left"/>
        </w:tabs>
        <w:numPr>
          <w:ilvl w:val="2"/>
          <w:numId w:val="97"/>
        </w:numPr>
        <w:rPr>
          <w:rFonts w:ascii="Arial" w:cs="Arial" w:eastAsia="Arial" w:hAnsi="Arial"/>
          <w:sz w:val="16"/>
          <w:szCs w:val="16"/>
          <w:color w:val="auto"/>
        </w:rPr>
      </w:pPr>
      <w:r>
        <w:rPr>
          <w:rFonts w:ascii="Arial" w:cs="Arial" w:eastAsia="Arial" w:hAnsi="Arial"/>
          <w:sz w:val="16"/>
          <w:szCs w:val="16"/>
          <w:color w:val="auto"/>
        </w:rPr>
        <w:t>If the Registration is undertaken for the Company’s account, the Company shall include in any such Registration</w:t>
      </w:r>
    </w:p>
    <w:p>
      <w:pPr>
        <w:spacing w:after="0" w:line="46" w:lineRule="exact"/>
        <w:rPr>
          <w:rFonts w:ascii="Arial" w:cs="Arial" w:eastAsia="Arial" w:hAnsi="Arial"/>
          <w:sz w:val="16"/>
          <w:szCs w:val="16"/>
          <w:color w:val="auto"/>
        </w:rPr>
      </w:pPr>
    </w:p>
    <w:p>
      <w:pPr>
        <w:jc w:val="both"/>
        <w:ind w:left="660" w:hanging="4"/>
        <w:spacing w:after="0" w:line="288" w:lineRule="auto"/>
        <w:tabs>
          <w:tab w:leader="none" w:pos="979"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first, the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hereof (pro rata based on the respective number of Registrable Securities that such Holder has requested be included in such Registration), which can be sold without exceeding the Maximum Number of Securities; and (C) third, to the extent that the Maximum Number of Securities has not been reached under the foregoing clauses (A) and (B), the Common Stock, if any, as to which Registration has been requested pursuant to written contractual piggy-back registration rights of other stockholders of the Company, which can be sold without exceeding the Maximum Number of Securities;</w:t>
      </w:r>
    </w:p>
    <w:p>
      <w:pPr>
        <w:spacing w:after="0" w:line="168" w:lineRule="exact"/>
        <w:rPr>
          <w:rFonts w:ascii="Arial" w:cs="Arial" w:eastAsia="Arial" w:hAnsi="Arial"/>
          <w:sz w:val="16"/>
          <w:szCs w:val="16"/>
          <w:color w:val="auto"/>
        </w:rPr>
      </w:pPr>
    </w:p>
    <w:p>
      <w:pPr>
        <w:jc w:val="both"/>
        <w:ind w:left="660" w:firstLine="1292"/>
        <w:spacing w:after="0" w:line="287" w:lineRule="auto"/>
        <w:tabs>
          <w:tab w:leader="none" w:pos="3007" w:val="left"/>
        </w:tabs>
        <w:numPr>
          <w:ilvl w:val="2"/>
          <w:numId w:val="98"/>
        </w:numPr>
        <w:rPr>
          <w:rFonts w:ascii="Arial" w:cs="Arial" w:eastAsia="Arial" w:hAnsi="Arial"/>
          <w:sz w:val="16"/>
          <w:szCs w:val="16"/>
          <w:color w:val="auto"/>
        </w:rPr>
      </w:pPr>
      <w:r>
        <w:rPr>
          <w:rFonts w:ascii="Arial" w:cs="Arial" w:eastAsia="Arial" w:hAnsi="Arial"/>
          <w:sz w:val="16"/>
          <w:szCs w:val="16"/>
          <w:color w:val="auto"/>
        </w:rPr>
        <w:t xml:space="preserve">If the Registration is pursuant to a request by persons or entities other than the Holders of Registrable Securities, then the Company shall include in any such Registration (A) first, the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pro rata based on the number of Registrable Securities that each Holder has requested be included in such Registration and the aggregate number of Registrable Securities that the Holders have requested to be included in such Registration, which can be sold without exceeding the Maximum Number of Securities; (C) third, to the extent that the Maximum Number of Securities has not been reached under the foregoing clauses (A) and (B), the Common Stock or other equity securities that the Company desires to sell, which can be sold without exceeding the Maximum Number of Securities; and (D) fourth, to the extent that the Maximum Number of Securities has not been reached under the foregoing clauses (A), (B) and (C), the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jc w:val="both"/>
        <w:ind w:firstLine="1296"/>
        <w:spacing w:after="0" w:line="291"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6"/>
          <w:szCs w:val="16"/>
          <w:u w:val="single" w:color="auto"/>
          <w:color w:val="auto"/>
        </w:rPr>
        <w:t>subsection 2.2.3</w:t>
      </w:r>
      <w:r>
        <w:rPr>
          <w:rFonts w:ascii="Arial" w:cs="Arial" w:eastAsia="Arial" w:hAnsi="Arial"/>
          <w:sz w:val="16"/>
          <w:szCs w:val="16"/>
          <w:color w:val="auto"/>
        </w:rPr>
        <w:t>.</w:t>
      </w:r>
    </w:p>
    <w:p>
      <w:pPr>
        <w:spacing w:after="0" w:line="16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any similar short form registration statement that may be available at such time (“</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 (12) days after the Company’s initial receipt of such written request for a Registration on Form S-3,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effect any such Registration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$10,000,000.</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ind w:firstLine="648"/>
        <w:spacing w:after="0" w:line="269"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Restrictions on Registration Rights</w:t>
      </w:r>
      <w:r>
        <w:rPr>
          <w:rFonts w:ascii="Arial" w:cs="Arial" w:eastAsia="Arial" w:hAnsi="Arial"/>
          <w:sz w:val="17"/>
          <w:szCs w:val="17"/>
          <w:color w:val="auto"/>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defer its obligation in this manner more than once in any 12-month period.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PROCEDURES</w:t>
      </w:r>
    </w:p>
    <w:p>
      <w:pPr>
        <w:spacing w:after="0" w:line="211"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General Procedures</w:t>
      </w:r>
      <w:r>
        <w:rPr>
          <w:rFonts w:ascii="Arial" w:cs="Arial" w:eastAsia="Arial" w:hAnsi="Arial"/>
          <w:sz w:val="16"/>
          <w:szCs w:val="16"/>
          <w:color w:val="auto"/>
        </w:rPr>
        <w:t>. If at any time on or after the date the Company consummates a Business Combination the Company 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required to effect the Registration of Registrable Securities, the Company shall use its best efforts to effect such Registration to permit the sale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Registrable Securities in accordance with the intended plan of distribution thereof, and pursuant thereto the Company shall, as expeditiously as possible:</w:t>
      </w:r>
    </w:p>
    <w:p>
      <w:pPr>
        <w:spacing w:after="0" w:line="23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3.1.2 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7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jc w:val="both"/>
        <w:ind w:firstLine="1296"/>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3.1.8 at least five (5) days prior to the filing of any Registration Statement or Prospectus or any amendment or supplement to such Registration Statement furnish a copy thereof to each seller of such Registrable Securities and its counsel, including, without limitation, providing copies promptly upon receipt of any comment letters received with respect to any such Registration Statement or Prospectus;</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3.1.10 permit a representative of the Holders (such representative to be selected by a majority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representatives or Underwriters enter into a confidentiality agreement, in form and substance reasonably satisfactory to the Company, prior to the release or disclosure of any such information;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the Company may not include the name of any Holder or Underwriter or any information regarding any Holder or Underwriter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or Underwriter and providing each such Holder or Underwriter a reasonable amount of time to review and comment on such applicable document, which comments the Company shall include unless contrary to applicable law;</w:t>
      </w:r>
    </w:p>
    <w:p>
      <w:pPr>
        <w:spacing w:after="0" w:line="185" w:lineRule="exact"/>
        <w:rPr>
          <w:sz w:val="20"/>
          <w:szCs w:val="20"/>
          <w:color w:val="auto"/>
        </w:rPr>
      </w:pPr>
    </w:p>
    <w:p>
      <w:pPr>
        <w:jc w:val="both"/>
        <w:ind w:right="20" w:firstLine="1296"/>
        <w:spacing w:after="0" w:line="311" w:lineRule="auto"/>
        <w:rPr>
          <w:sz w:val="20"/>
          <w:szCs w:val="20"/>
          <w:color w:val="auto"/>
        </w:rPr>
      </w:pPr>
      <w:r>
        <w:rPr>
          <w:rFonts w:ascii="Arial" w:cs="Arial" w:eastAsia="Arial" w:hAnsi="Arial"/>
          <w:sz w:val="16"/>
          <w:szCs w:val="16"/>
          <w:color w:val="auto"/>
        </w:rPr>
        <w:t>3.1.11 obtain a “cold comfort” letter from the Company’s independent registered public accountants in the event of an Underwritten Registration which the participating Holders may rely on, in customary form and covering such matters of the type customarily covered by “cold comfort” letters as the managing Underwriter may reasonably request, and reasonably satisfactory to a majority-in-interest of the participating Holders;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jc w:val="both"/>
        <w:ind w:firstLine="1296"/>
        <w:spacing w:after="0" w:line="257" w:lineRule="auto"/>
        <w:rPr>
          <w:sz w:val="20"/>
          <w:szCs w:val="20"/>
          <w:color w:val="auto"/>
        </w:rPr>
      </w:pPr>
      <w:r>
        <w:rPr>
          <w:rFonts w:ascii="Arial" w:cs="Arial" w:eastAsia="Arial" w:hAnsi="Arial"/>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88"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70" w:lineRule="exact"/>
        <w:rPr>
          <w:sz w:val="20"/>
          <w:szCs w:val="20"/>
          <w:color w:val="auto"/>
        </w:rPr>
      </w:pPr>
    </w:p>
    <w:p>
      <w:pPr>
        <w:jc w:val="both"/>
        <w:ind w:right="20" w:firstLine="1296"/>
        <w:spacing w:after="0" w:line="311" w:lineRule="auto"/>
        <w:rPr>
          <w:sz w:val="20"/>
          <w:szCs w:val="20"/>
          <w:color w:val="auto"/>
        </w:rPr>
      </w:pPr>
      <w:r>
        <w:rPr>
          <w:rFonts w:ascii="Arial" w:cs="Arial" w:eastAsia="Arial" w:hAnsi="Arial"/>
          <w:sz w:val="16"/>
          <w:szCs w:val="16"/>
          <w:color w:val="auto"/>
        </w:rPr>
        <w:t xml:space="preserve">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of the Securities Act and Rule 158 thereunder (or any successor rule promulgated thereafter by the Commission);</w:t>
      </w:r>
    </w:p>
    <w:p>
      <w:pPr>
        <w:spacing w:after="0" w:line="14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3.1.16 otherwise, in good faith, cooperate reasonably with, and take such customary actions as may reasonably be requested by the Holders, in connection with such Registration.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Requirements for Participation in Underwritten Offerings</w:t>
      </w:r>
      <w:r>
        <w:rPr>
          <w:rFonts w:ascii="Arial" w:cs="Arial" w:eastAsia="Arial" w:hAnsi="Arial"/>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0" w:name="page121"/>
    <w:bookmarkEnd w:id="120"/>
    <w:p>
      <w:pPr>
        <w:jc w:val="both"/>
        <w:ind w:firstLine="648"/>
        <w:spacing w:after="0" w:line="271"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Reporting Obligations</w:t>
      </w:r>
      <w:r>
        <w:rPr>
          <w:rFonts w:ascii="Arial" w:cs="Arial" w:eastAsia="Arial" w:hAnsi="Arial"/>
          <w:sz w:val="17"/>
          <w:szCs w:val="17"/>
          <w:color w:val="auto"/>
        </w:rPr>
        <w:t xml:space="preserve">.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w:t>
      </w:r>
      <w:r>
        <w:rPr>
          <w:rFonts w:ascii="Arial" w:cs="Arial" w:eastAsia="Arial" w:hAnsi="Arial"/>
          <w:sz w:val="17"/>
          <w:szCs w:val="17"/>
          <w:u w:val="single" w:color="auto"/>
          <w:color w:val="auto"/>
        </w:rPr>
        <w:t>Sections 13(a)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15(d)</w:t>
      </w:r>
      <w:r>
        <w:rPr>
          <w:rFonts w:ascii="Arial" w:cs="Arial" w:eastAsia="Arial" w:hAnsi="Arial"/>
          <w:sz w:val="17"/>
          <w:szCs w:val="17"/>
          <w:color w:val="auto"/>
        </w:rPr>
        <w:t xml:space="preserve">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0" w:type="dxa"/>
            <w:vAlign w:val="bottom"/>
          </w:tcPr>
          <w:p>
            <w:pPr>
              <w:jc w:val="center"/>
              <w:ind w:left="490"/>
              <w:spacing w:after="0"/>
              <w:rPr>
                <w:sz w:val="20"/>
                <w:szCs w:val="20"/>
                <w:color w:val="auto"/>
              </w:rPr>
            </w:pPr>
            <w:r>
              <w:rPr>
                <w:rFonts w:ascii="Arial" w:cs="Arial" w:eastAsia="Arial" w:hAnsi="Arial"/>
                <w:sz w:val="18"/>
                <w:szCs w:val="18"/>
                <w:color w:val="auto"/>
                <w:w w:val="99"/>
              </w:rPr>
              <w:t>ARTICLE IV</w:t>
            </w:r>
          </w:p>
        </w:tc>
      </w:tr>
      <w:tr>
        <w:trPr>
          <w:trHeight w:val="230"/>
        </w:trPr>
        <w:tc>
          <w:tcPr>
            <w:tcW w:w="1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0" w:type="dxa"/>
            <w:vAlign w:val="bottom"/>
          </w:tcPr>
          <w:p>
            <w:pPr>
              <w:jc w:val="center"/>
              <w:ind w:left="470"/>
              <w:spacing w:after="0"/>
              <w:rPr>
                <w:sz w:val="20"/>
                <w:szCs w:val="20"/>
                <w:color w:val="auto"/>
              </w:rPr>
            </w:pPr>
            <w:r>
              <w:rPr>
                <w:rFonts w:ascii="Arial" w:cs="Arial" w:eastAsia="Arial" w:hAnsi="Arial"/>
                <w:sz w:val="18"/>
                <w:szCs w:val="18"/>
                <w:color w:val="auto"/>
                <w:w w:val="99"/>
              </w:rPr>
              <w:t>INDEMNIFICATION AND CONTRIBUTION</w:t>
            </w:r>
          </w:p>
        </w:tc>
      </w:tr>
      <w:tr>
        <w:trPr>
          <w:trHeight w:val="391"/>
        </w:trPr>
        <w:tc>
          <w:tcPr>
            <w:tcW w:w="1480" w:type="dxa"/>
            <w:vAlign w:val="bottom"/>
          </w:tcPr>
          <w:p>
            <w:pPr>
              <w:spacing w:after="0"/>
              <w:rPr>
                <w:sz w:val="20"/>
                <w:szCs w:val="20"/>
                <w:color w:val="auto"/>
              </w:rPr>
            </w:pPr>
            <w:r>
              <w:rPr>
                <w:rFonts w:ascii="Arial" w:cs="Arial" w:eastAsia="Arial" w:hAnsi="Arial"/>
                <w:sz w:val="18"/>
                <w:szCs w:val="18"/>
                <w:color w:val="auto"/>
              </w:rPr>
              <w:t>Section 4.1</w:t>
            </w:r>
          </w:p>
        </w:tc>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Indemnification.</w:t>
            </w:r>
          </w:p>
        </w:tc>
        <w:tc>
          <w:tcPr>
            <w:tcW w:w="4000" w:type="dxa"/>
            <w:vAlign w:val="bottom"/>
          </w:tcPr>
          <w:p>
            <w:pPr>
              <w:spacing w:after="0"/>
              <w:rPr>
                <w:sz w:val="24"/>
                <w:szCs w:val="24"/>
                <w:color w:val="auto"/>
              </w:rPr>
            </w:pPr>
          </w:p>
        </w:tc>
      </w:tr>
    </w:tbl>
    <w:p>
      <w:pPr>
        <w:spacing w:after="0" w:line="22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9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firstLine="1296"/>
        <w:spacing w:after="0" w:line="268"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8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No person guilty of fraudulent misrepresentation (within the meaning of </w:t>
      </w:r>
      <w:r>
        <w:rPr>
          <w:rFonts w:ascii="Arial" w:cs="Arial" w:eastAsia="Arial" w:hAnsi="Arial"/>
          <w:sz w:val="16"/>
          <w:szCs w:val="16"/>
          <w:u w:val="single" w:color="auto"/>
          <w:color w:val="auto"/>
        </w:rPr>
        <w:t>Section 11(f)</w:t>
      </w:r>
      <w:r>
        <w:rPr>
          <w:rFonts w:ascii="Arial" w:cs="Arial" w:eastAsia="Arial" w:hAnsi="Arial"/>
          <w:sz w:val="16"/>
          <w:szCs w:val="16"/>
          <w:color w:val="auto"/>
        </w:rPr>
        <w:t xml:space="preserve">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Any notice or communication under this Agreement must be in writing and given by (i) deposit in the United States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600 Steamboat Road, Greenwich, CT 06830,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172"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Assignment; No Third Party Beneficiaries.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5.2.1 This Agreement and the rights, duties and obligations of the Company hereunder may not be assigned or delegated by the Company in whole or in part.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5.2.2 Prior to the expiration of the Founder Shares Lock-up Period or the Private Placement Lock-up Period, as the case may be, no Holder may assign or delegate such Holder’s rights, duties or obligations under this Agreement, in whole or in part, except in connection with a transfer of Registrable Securities by such Holder to a Permitted Transferee but only if such Permitted Transferee agrees to become bound by the transfer restrictions set forth in this Agreement.</w:t>
      </w:r>
    </w:p>
    <w:p>
      <w:pPr>
        <w:spacing w:after="0" w:line="18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5.2.4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ind w:left="660"/>
              <w:spacing w:after="0"/>
              <w:rPr>
                <w:sz w:val="20"/>
                <w:szCs w:val="20"/>
                <w:color w:val="auto"/>
              </w:rPr>
            </w:pPr>
            <w:r>
              <w:rPr>
                <w:rFonts w:ascii="Arial" w:cs="Arial" w:eastAsia="Arial" w:hAnsi="Arial"/>
                <w:sz w:val="18"/>
                <w:szCs w:val="18"/>
                <w:color w:val="auto"/>
              </w:rPr>
              <w:t>Section 5.3</w:t>
            </w:r>
          </w:p>
        </w:tc>
        <w:tc>
          <w:tcPr>
            <w:tcW w:w="8960" w:type="dxa"/>
            <w:vAlign w:val="bottom"/>
            <w:gridSpan w:val="3"/>
          </w:tcPr>
          <w:p>
            <w:pPr>
              <w:jc w:val="right"/>
              <w:spacing w:after="0"/>
              <w:rPr>
                <w:sz w:val="20"/>
                <w:szCs w:val="20"/>
                <w:color w:val="auto"/>
              </w:rPr>
            </w:pPr>
            <w:r>
              <w:rPr>
                <w:rFonts w:ascii="Arial" w:cs="Arial" w:eastAsia="Arial" w:hAnsi="Arial"/>
                <w:sz w:val="18"/>
                <w:szCs w:val="18"/>
                <w:color w:val="auto"/>
                <w:w w:val="91"/>
              </w:rPr>
              <w:t>Counterparts. This Agreement may be executed in multiple counterparts (including facsimile or PDF counterparts), each of</w:t>
            </w:r>
          </w:p>
        </w:tc>
      </w:tr>
      <w:tr>
        <w:trPr>
          <w:trHeight w:val="20"/>
        </w:trPr>
        <w:tc>
          <w:tcPr>
            <w:tcW w:w="228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37"/>
        </w:trPr>
        <w:tc>
          <w:tcPr>
            <w:tcW w:w="11240" w:type="dxa"/>
            <w:vAlign w:val="bottom"/>
            <w:gridSpan w:val="4"/>
          </w:tcPr>
          <w:p>
            <w:pPr>
              <w:spacing w:after="0"/>
              <w:rPr>
                <w:sz w:val="20"/>
                <w:szCs w:val="20"/>
                <w:color w:val="auto"/>
              </w:rPr>
            </w:pPr>
            <w:r>
              <w:rPr>
                <w:rFonts w:ascii="Arial" w:cs="Arial" w:eastAsia="Arial" w:hAnsi="Arial"/>
                <w:sz w:val="18"/>
                <w:szCs w:val="18"/>
                <w:color w:val="auto"/>
              </w:rPr>
              <w:t>which shall be deemed an original, and all of which together shall constitute the same instrument, but only one of which need be produced.</w:t>
            </w:r>
          </w:p>
        </w:tc>
      </w:tr>
      <w:tr>
        <w:trPr>
          <w:trHeight w:val="391"/>
        </w:trPr>
        <w:tc>
          <w:tcPr>
            <w:tcW w:w="2280" w:type="dxa"/>
            <w:vAlign w:val="bottom"/>
          </w:tcPr>
          <w:p>
            <w:pPr>
              <w:ind w:left="660"/>
              <w:spacing w:after="0"/>
              <w:rPr>
                <w:sz w:val="20"/>
                <w:szCs w:val="20"/>
                <w:color w:val="auto"/>
              </w:rPr>
            </w:pPr>
            <w:r>
              <w:rPr>
                <w:rFonts w:ascii="Arial" w:cs="Arial" w:eastAsia="Arial" w:hAnsi="Arial"/>
                <w:sz w:val="18"/>
                <w:szCs w:val="18"/>
                <w:color w:val="auto"/>
              </w:rPr>
              <w:t>Section 5.4</w:t>
            </w:r>
          </w:p>
        </w:tc>
        <w:tc>
          <w:tcPr>
            <w:tcW w:w="896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Governing Law; Venue. NOTWITHSTANDING THE PLACE WHERE THIS AGREEMENT MAY BE EXECUTED BY</w:t>
            </w:r>
          </w:p>
        </w:tc>
      </w:tr>
      <w:tr>
        <w:trPr>
          <w:trHeight w:val="20"/>
        </w:trPr>
        <w:tc>
          <w:tcPr>
            <w:tcW w:w="2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OF THE PARTIES HERETO, THE PARTIES EXPRESSLY AGREE THAT (I) THIS AGREEMENT SHALL BE GOVERNED BY AND CONSTRUED UNDER THE LAWS OF THE STATE OF NEW YORK AS APPLIED TO AGREEMENTS AMONG NEW YORK RESIDENTS ENTERED INTO AND TO BE PERFORMED ENTIRELY WITHIN NEW YORK AND (II) THE VENUE FOR ANY ACTION TAKEN WITH RESPECT TO THIS AGREEMENT SHALL BE ANY STATE OR FEDERAL COURT IN NEW YORK COUNTY IN THE STATE OF NEW YORK.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jc w:val="both"/>
        <w:ind w:firstLine="648"/>
        <w:spacing w:after="0" w:line="253"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This Agreement shall terminate upon the earlier of (i) the tenth anniversary of the date of this Agreement or (ii) the date as of which (A) all of the Registrable Securities have been sold pursuant to a Registration Statement (but in no event prior to the applicable period referred to in Section 4(a) (3) of the Securities Act and Rule 174 thereunder (or any successor rule promulgated thereafter by the Commission)) or (B) the Holders of all Registrable Securities are permitted to sell the Registrable Securities without registration pursuant to Rule 144 (or any similar provision) under the Securities Act with no volume or other restrictions or limitations. The provisions of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and </w:t>
      </w:r>
      <w:r>
        <w:rPr>
          <w:rFonts w:ascii="Arial" w:cs="Arial" w:eastAsia="Arial" w:hAnsi="Arial"/>
          <w:sz w:val="16"/>
          <w:szCs w:val="16"/>
          <w:i w:val="1"/>
          <w:iCs w:val="1"/>
          <w:u w:val="single" w:color="auto"/>
          <w:color w:val="auto"/>
        </w:rPr>
        <w:t>Article IV</w:t>
      </w:r>
      <w:r>
        <w:rPr>
          <w:rFonts w:ascii="Arial" w:cs="Arial" w:eastAsia="Arial" w:hAnsi="Arial"/>
          <w:sz w:val="16"/>
          <w:szCs w:val="16"/>
          <w:color w:val="auto"/>
        </w:rPr>
        <w:t xml:space="preserve"> shall survive any termination.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have caused this Agreement to be executed as of the date first written above.</w:t>
      </w:r>
    </w:p>
    <w:p>
      <w:pPr>
        <w:spacing w:after="0" w:line="23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56"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AMCI ACQUISITION CORP. II, a Delaware corporation</w:t>
      </w:r>
    </w:p>
    <w:p>
      <w:pPr>
        <w:spacing w:after="0" w:line="264"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Nimesh Patel</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Nimesh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HOLDERS</w:t>
      </w:r>
      <w:r>
        <w:rPr>
          <w:rFonts w:ascii="Arial" w:cs="Arial" w:eastAsia="Arial" w:hAnsi="Arial"/>
          <w:sz w:val="18"/>
          <w:szCs w:val="18"/>
          <w:color w:val="auto"/>
        </w:rPr>
        <w:t>:</w:t>
      </w:r>
    </w:p>
    <w:p>
      <w:pPr>
        <w:spacing w:after="0" w:line="25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AMCI SPONSOR II LLC</w:t>
      </w:r>
    </w:p>
    <w:p>
      <w:pPr>
        <w:spacing w:after="0" w:line="200" w:lineRule="exact"/>
        <w:rPr>
          <w:sz w:val="20"/>
          <w:szCs w:val="20"/>
          <w:color w:val="auto"/>
        </w:rPr>
      </w:pPr>
    </w:p>
    <w:p>
      <w:pPr>
        <w:spacing w:after="0" w:line="282"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Nimesh Patel</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Nimesh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Sole Managing Member</w:t>
      </w:r>
    </w:p>
    <w:p>
      <w:pPr>
        <w:spacing w:after="0" w:line="200" w:lineRule="exact"/>
        <w:rPr>
          <w:sz w:val="20"/>
          <w:szCs w:val="20"/>
          <w:color w:val="auto"/>
        </w:rPr>
      </w:pPr>
    </w:p>
    <w:p>
      <w:pPr>
        <w:spacing w:after="0" w:line="28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Nimesh Patel</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Nimesh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Beem</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Brian Beem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Murphy</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Patrick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Hans Mende</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Hans Mende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Kate Burson</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Kate Burson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1120" w:right="1440" w:bottom="1440" w:gutter="0" w:footer="0" w:header="0"/>
        </w:sectPr>
      </w:pPr>
    </w:p>
    <w:bookmarkStart w:id="125" w:name="page126"/>
    <w:bookmarkEnd w:id="125"/>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Adrian Paterson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Adrian Paterson</w:t>
      </w:r>
    </w:p>
    <w:p>
      <w:pPr>
        <w:spacing w:after="0" w:line="200" w:lineRule="exact"/>
        <w:rPr>
          <w:sz w:val="20"/>
          <w:szCs w:val="20"/>
          <w:color w:val="auto"/>
        </w:rPr>
      </w:pPr>
    </w:p>
    <w:p>
      <w:pPr>
        <w:spacing w:after="0" w:line="240"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Pinho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Mark Pinho</w:t>
      </w:r>
    </w:p>
    <w:p>
      <w:pPr>
        <w:spacing w:after="0" w:line="200" w:lineRule="exact"/>
        <w:rPr>
          <w:sz w:val="20"/>
          <w:szCs w:val="20"/>
          <w:color w:val="auto"/>
        </w:rPr>
      </w:pPr>
    </w:p>
    <w:p>
      <w:pPr>
        <w:spacing w:after="0" w:line="240"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Walker Woodson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Walker Woodson</w:t>
      </w:r>
    </w:p>
    <w:p>
      <w:pPr>
        <w:spacing w:after="0" w:line="200" w:lineRule="exact"/>
        <w:rPr>
          <w:sz w:val="20"/>
          <w:szCs w:val="20"/>
          <w:color w:val="auto"/>
        </w:rPr>
      </w:pPr>
    </w:p>
    <w:p>
      <w:pPr>
        <w:spacing w:after="0" w:line="240"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Jill Watz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Jill Watz</w:t>
      </w:r>
    </w:p>
    <w:p>
      <w:pPr>
        <w:spacing w:after="0" w:line="200" w:lineRule="exact"/>
        <w:rPr>
          <w:sz w:val="20"/>
          <w:szCs w:val="20"/>
          <w:color w:val="auto"/>
        </w:rPr>
      </w:pPr>
    </w:p>
    <w:p>
      <w:pPr>
        <w:spacing w:after="0" w:line="2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AMCI Group, LLC Series 35</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Hans Mende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Hans Mende</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Title: Authorized Signatory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t>Exhibit 10.4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PLACEMENT WARRANTS PURCHASE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PRIVATE PLACEMENT WARRANTS PURCHASE AGREEMENT, dated as of August 3, 2021 (as it may from time to time be amended and including all exhibits referenced herein,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among AMCI Acquisition Corp. II,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AMCI Sponsor II LLC, a Delaware limited liability company (the “</w:t>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WHEREAS, the Company intends to consummate an initial public offering of the Company’s units (the “</w:t>
      </w:r>
      <w:r>
        <w:rPr>
          <w:rFonts w:ascii="Arial" w:cs="Arial" w:eastAsia="Arial" w:hAnsi="Arial"/>
          <w:sz w:val="16"/>
          <w:szCs w:val="16"/>
          <w:b w:val="1"/>
          <w:bCs w:val="1"/>
          <w:color w:val="auto"/>
        </w:rPr>
        <w:t>Public Offering</w:t>
      </w:r>
      <w:r>
        <w:rPr>
          <w:rFonts w:ascii="Arial" w:cs="Arial" w:eastAsia="Arial" w:hAnsi="Arial"/>
          <w:sz w:val="16"/>
          <w:szCs w:val="16"/>
          <w:color w:val="auto"/>
        </w:rPr>
        <w:t>”), each unit consisting of one share of the Company’s Class A common stock, par value $0.0001 per share (each, a “</w:t>
      </w:r>
      <w:r>
        <w:rPr>
          <w:rFonts w:ascii="Arial" w:cs="Arial" w:eastAsia="Arial" w:hAnsi="Arial"/>
          <w:sz w:val="16"/>
          <w:szCs w:val="16"/>
          <w:b w:val="1"/>
          <w:bCs w:val="1"/>
          <w:color w:val="auto"/>
        </w:rPr>
        <w:t>Share</w:t>
      </w:r>
      <w:r>
        <w:rPr>
          <w:rFonts w:ascii="Arial" w:cs="Arial" w:eastAsia="Arial" w:hAnsi="Arial"/>
          <w:sz w:val="16"/>
          <w:szCs w:val="16"/>
          <w:color w:val="auto"/>
        </w:rPr>
        <w:t>”), and one-half of one redeemable warrant. Each whole warrant entitles the holder to purchase one Share at an exercise price of $11.50 per Share. The Purchaser has agreed to purchase an aggregate of 3,500,000 warrants (or 3,725,000 warrants in the aggregate to the extent the over-allotment option in connection with the Public Offering is exercised) (the “</w:t>
      </w:r>
      <w:r>
        <w:rPr>
          <w:rFonts w:ascii="Arial" w:cs="Arial" w:eastAsia="Arial" w:hAnsi="Arial"/>
          <w:sz w:val="16"/>
          <w:szCs w:val="16"/>
          <w:b w:val="1"/>
          <w:bCs w:val="1"/>
          <w:color w:val="auto"/>
        </w:rPr>
        <w:t>Private</w:t>
      </w:r>
      <w:r>
        <w:rPr>
          <w:rFonts w:ascii="Arial" w:cs="Arial" w:eastAsia="Arial" w:hAnsi="Arial"/>
          <w:sz w:val="16"/>
          <w:szCs w:val="16"/>
          <w:color w:val="auto"/>
        </w:rPr>
        <w:t xml:space="preserve"> </w:t>
      </w:r>
      <w:r>
        <w:rPr>
          <w:rFonts w:ascii="Arial" w:cs="Arial" w:eastAsia="Arial" w:hAnsi="Arial"/>
          <w:sz w:val="16"/>
          <w:szCs w:val="16"/>
          <w:b w:val="1"/>
          <w:bCs w:val="1"/>
          <w:color w:val="auto"/>
        </w:rPr>
        <w:t>Placement Warrants</w:t>
      </w:r>
      <w:r>
        <w:rPr>
          <w:rFonts w:ascii="Arial" w:cs="Arial" w:eastAsia="Arial" w:hAnsi="Arial"/>
          <w:sz w:val="16"/>
          <w:szCs w:val="16"/>
          <w:color w:val="auto"/>
        </w:rPr>
        <w:t>”), each Private Placement Warrant entitling the holder to purchase one Share at an exercise price of $11.50 per Share.</w:t>
      </w:r>
    </w:p>
    <w:p>
      <w:pPr>
        <w:spacing w:after="0" w:line="15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NOW THEREFORE, in consideration of the mutual promises contained in this Agreement and other good and valuable consideration, the receipt and sufficiency of which are hereby acknowledged, the parties to this Agreement hereby, intending legally to be bound, agree as follows: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w:t>
      </w:r>
    </w:p>
    <w:p>
      <w:pPr>
        <w:spacing w:after="0" w:line="221"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Authorization, Purchase and Sale; Terms of the Private Placement Warrants.</w:t>
      </w:r>
    </w:p>
    <w:p>
      <w:pPr>
        <w:spacing w:after="0" w:line="229" w:lineRule="exact"/>
        <w:rPr>
          <w:sz w:val="20"/>
          <w:szCs w:val="20"/>
          <w:color w:val="auto"/>
        </w:rPr>
      </w:pPr>
    </w:p>
    <w:p>
      <w:pPr>
        <w:ind w:firstLine="656"/>
        <w:spacing w:after="0" w:line="277" w:lineRule="auto"/>
        <w:tabs>
          <w:tab w:leader="none" w:pos="1493"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Authorization of the Private Placement Warrants.</w:t>
      </w:r>
      <w:r>
        <w:rPr>
          <w:rFonts w:ascii="Arial" w:cs="Arial" w:eastAsia="Arial" w:hAnsi="Arial"/>
          <w:sz w:val="18"/>
          <w:szCs w:val="18"/>
          <w:color w:val="auto"/>
        </w:rPr>
        <w:t xml:space="preserve"> The Company has duly authorized the issuance and sale of the Private Placement Warrants to the Purchaser.</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Purchase and Sale of the Private Placement Warrants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the date of the consummation of the Public Offering or on such earlier time and date as may be mutually agreed by the Purchaser and the Company (the “</w:t>
      </w:r>
      <w:r>
        <w:rPr>
          <w:rFonts w:ascii="Arial" w:cs="Arial" w:eastAsia="Arial" w:hAnsi="Arial"/>
          <w:sz w:val="16"/>
          <w:szCs w:val="16"/>
          <w:b w:val="1"/>
          <w:bCs w:val="1"/>
          <w:color w:val="auto"/>
        </w:rPr>
        <w:t>Initial Closing Date</w:t>
      </w:r>
      <w:r>
        <w:rPr>
          <w:rFonts w:ascii="Arial" w:cs="Arial" w:eastAsia="Arial" w:hAnsi="Arial"/>
          <w:sz w:val="16"/>
          <w:szCs w:val="16"/>
          <w:color w:val="auto"/>
        </w:rPr>
        <w:t>”), the Company shall issue and sell to the Purchaser, and the Purchaser shall purchase from the Company, an aggregate of 3,500,000 Private Placement Warrants at a price of $1.00 per warrant for an aggregate purchase price of $3,500,000 (the “</w:t>
      </w:r>
      <w:r>
        <w:rPr>
          <w:rFonts w:ascii="Arial" w:cs="Arial" w:eastAsia="Arial" w:hAnsi="Arial"/>
          <w:sz w:val="16"/>
          <w:szCs w:val="16"/>
          <w:b w:val="1"/>
          <w:bCs w:val="1"/>
          <w:color w:val="auto"/>
        </w:rPr>
        <w:t>Purchase Price</w:t>
      </w:r>
      <w:r>
        <w:rPr>
          <w:rFonts w:ascii="Arial" w:cs="Arial" w:eastAsia="Arial" w:hAnsi="Arial"/>
          <w:sz w:val="16"/>
          <w:szCs w:val="16"/>
          <w:color w:val="auto"/>
        </w:rPr>
        <w:t>”), which shall be paid by wire transfer of immediately available funds to the Company in accordance with the Company’s wiring instructions at least one business day prior to the Initial Closing Date. On the Initial Closing Date, the Company, shall either, at its option, deliver certificates evidencing the Private Placement Warrants purchased by the Purchaser on such date duly registered in the Purchaser’s name to the Purchaser, or effect such delivery in book-entry form. On the date of the consummation of the closing of the over-allotment option in connection with the Public Offering or on such earlier time and date as may be mutually agreed by the Purchaser and the Company (each such date, an “</w:t>
      </w:r>
      <w:r>
        <w:rPr>
          <w:rFonts w:ascii="Arial" w:cs="Arial" w:eastAsia="Arial" w:hAnsi="Arial"/>
          <w:sz w:val="16"/>
          <w:szCs w:val="16"/>
          <w:b w:val="1"/>
          <w:bCs w:val="1"/>
          <w:color w:val="auto"/>
        </w:rPr>
        <w:t>Over-allotment Closing Date</w:t>
      </w:r>
      <w:r>
        <w:rPr>
          <w:rFonts w:ascii="Arial" w:cs="Arial" w:eastAsia="Arial" w:hAnsi="Arial"/>
          <w:sz w:val="16"/>
          <w:szCs w:val="16"/>
          <w:color w:val="auto"/>
        </w:rPr>
        <w:t>,” and each Over-allotment Closing Date (if any) and the Initial Closing Date being sometimes referred to herein as a “</w:t>
      </w:r>
      <w:r>
        <w:rPr>
          <w:rFonts w:ascii="Arial" w:cs="Arial" w:eastAsia="Arial" w:hAnsi="Arial"/>
          <w:sz w:val="16"/>
          <w:szCs w:val="16"/>
          <w:b w:val="1"/>
          <w:bCs w:val="1"/>
          <w:color w:val="auto"/>
        </w:rPr>
        <w:t>Closing Date</w:t>
      </w:r>
      <w:r>
        <w:rPr>
          <w:rFonts w:ascii="Arial" w:cs="Arial" w:eastAsia="Arial" w:hAnsi="Arial"/>
          <w:sz w:val="16"/>
          <w:szCs w:val="16"/>
          <w:color w:val="auto"/>
        </w:rPr>
        <w:t>”), the Company shall issue and sell to the Purchaser, and the Purchaser shall purchase from the Company, up to an aggregate of 225,000 Private Placement Warrants, in the same proportion as the amount of the over-allotment option that is exercised, at a price of $1.00 per warrant for an aggregate purchase price of up to $225,000 (if the over-allotment option in connection with the Public Offering is exercised in full) (the “</w:t>
      </w:r>
      <w:r>
        <w:rPr>
          <w:rFonts w:ascii="Arial" w:cs="Arial" w:eastAsia="Arial" w:hAnsi="Arial"/>
          <w:sz w:val="16"/>
          <w:szCs w:val="16"/>
          <w:b w:val="1"/>
          <w:bCs w:val="1"/>
          <w:color w:val="auto"/>
        </w:rPr>
        <w:t>Over-allotment Purchase Price</w:t>
      </w:r>
      <w:r>
        <w:rPr>
          <w:rFonts w:ascii="Arial" w:cs="Arial" w:eastAsia="Arial" w:hAnsi="Arial"/>
          <w:sz w:val="16"/>
          <w:szCs w:val="16"/>
          <w:color w:val="auto"/>
        </w:rPr>
        <w:t>”), which shall be paid by wire transfer of immediately available funds to the Company in accordance with the Company’s wiring instructions, at least one business day prior to the Over-allotment Closing Date. On the Over-allotment Closing Date, upon the payment by the Purchaser of the Over-allotment Purchase Price payable by them by wire transfer of immediately available funds to the Company, the Company shall either, at its option, deliver certificates evidencing the Private Placement Warrants purchased by the Purchaser on such date duly registered in the Purchaser’s name to the Purchaser, or effect such delivery in book-entry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7" w:name="page128"/>
    <w:bookmarkEnd w:id="127"/>
    <w:p>
      <w:pPr>
        <w:ind w:left="1360" w:hanging="704"/>
        <w:spacing w:after="0"/>
        <w:tabs>
          <w:tab w:leader="none" w:pos="13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Terms of the Private Placement Warrants.</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203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Private Placement Warrants shall have their terms set forth in a Warrant Agreement to be entered into by the Company and a warrant agent, in connection with the Public Offering (a “</w:t>
      </w:r>
      <w:r>
        <w:rPr>
          <w:rFonts w:ascii="Arial" w:cs="Arial" w:eastAsia="Arial" w:hAnsi="Arial"/>
          <w:sz w:val="18"/>
          <w:szCs w:val="18"/>
          <w:b w:val="1"/>
          <w:bCs w:val="1"/>
          <w:color w:val="auto"/>
        </w:rPr>
        <w:t>Warrant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232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At or prior to the time of the Initial Closing Date, the Company and the Purchaser shall enter into a registration rights agreement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pursuant to which the Company will grant certain registration rights to the Purchaser relating to the Private Placement Warrants and the Shares underlying the Private Placement Warrants.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2 Representations and Warranties of the Company. </w:t>
      </w:r>
      <w:r>
        <w:rPr>
          <w:rFonts w:ascii="Arial" w:cs="Arial" w:eastAsia="Arial" w:hAnsi="Arial"/>
          <w:sz w:val="18"/>
          <w:szCs w:val="18"/>
          <w:color w:val="auto"/>
        </w:rPr>
        <w:t>As a material inducement to the Purchaser to enter into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the Private Placement Warrants, the Company hereby represents and warrants to the Purchaser (which representations and warranties shall survive each Closing Date) that:</w:t>
      </w:r>
    </w:p>
    <w:p>
      <w:pPr>
        <w:spacing w:after="0" w:line="180" w:lineRule="exact"/>
        <w:rPr>
          <w:sz w:val="20"/>
          <w:szCs w:val="20"/>
          <w:color w:val="auto"/>
        </w:rPr>
      </w:pPr>
    </w:p>
    <w:p>
      <w:pPr>
        <w:jc w:val="both"/>
        <w:ind w:firstLine="656"/>
        <w:spacing w:after="0" w:line="279" w:lineRule="auto"/>
        <w:tabs>
          <w:tab w:leader="none" w:pos="1403"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Organization and Corporate Power.</w:t>
      </w:r>
      <w:r>
        <w:rPr>
          <w:rFonts w:ascii="Arial" w:cs="Arial" w:eastAsia="Arial" w:hAnsi="Arial"/>
          <w:sz w:val="17"/>
          <w:szCs w:val="17"/>
          <w:color w:val="auto"/>
        </w:rPr>
        <w:t xml:space="preserve"> The Company is a corporation duly organized, validly existing and in good standing under the laws of the State of Delaware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 and the Warrant Agreement.</w:t>
      </w:r>
    </w:p>
    <w:p>
      <w:pPr>
        <w:spacing w:after="0" w:line="171" w:lineRule="exact"/>
        <w:rPr>
          <w:rFonts w:ascii="Arial" w:cs="Arial" w:eastAsia="Arial" w:hAnsi="Arial"/>
          <w:sz w:val="17"/>
          <w:szCs w:val="17"/>
          <w:color w:val="auto"/>
        </w:rPr>
      </w:pPr>
    </w:p>
    <w:p>
      <w:pPr>
        <w:ind w:left="1360" w:hanging="704"/>
        <w:spacing w:after="0"/>
        <w:tabs>
          <w:tab w:leader="none" w:pos="136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Authorization; No Breach.</w:t>
      </w:r>
    </w:p>
    <w:p>
      <w:pPr>
        <w:spacing w:after="0" w:line="225" w:lineRule="exact"/>
        <w:rPr>
          <w:rFonts w:ascii="Arial" w:cs="Arial" w:eastAsia="Arial" w:hAnsi="Arial"/>
          <w:sz w:val="18"/>
          <w:szCs w:val="18"/>
          <w:color w:val="auto"/>
        </w:rPr>
      </w:pPr>
    </w:p>
    <w:p>
      <w:pPr>
        <w:jc w:val="both"/>
        <w:ind w:firstLine="1304"/>
        <w:spacing w:after="0" w:line="301" w:lineRule="auto"/>
        <w:tabs>
          <w:tab w:leader="none" w:pos="2033"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the Private Placement Warrants have been duly authorized and approved by the Company as of each Closing Date. This Agreement constitutes a valid and binding obligation of the Company, enforceable in accordance with its terms. Upon each issuance of Private Placement Warrants in accordance with, and payment pursuant to, the terms of the Warrant Agreement and this Agreement, the Private Placement Warrants will constitute valid and binding obligations of the Company, enforceable in accordance with their terms.</w:t>
      </w:r>
    </w:p>
    <w:p>
      <w:pPr>
        <w:spacing w:after="0" w:line="157" w:lineRule="exact"/>
        <w:rPr>
          <w:rFonts w:ascii="Arial" w:cs="Arial" w:eastAsia="Arial" w:hAnsi="Arial"/>
          <w:sz w:val="16"/>
          <w:szCs w:val="16"/>
          <w:color w:val="auto"/>
        </w:rPr>
      </w:pPr>
    </w:p>
    <w:p>
      <w:pPr>
        <w:jc w:val="both"/>
        <w:ind w:firstLine="1304"/>
        <w:spacing w:after="0" w:line="270" w:lineRule="auto"/>
        <w:tabs>
          <w:tab w:leader="none" w:pos="201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The execution and delivery by the Company of this Agreement and the Private Placement Warrants, the issuance and sale of the Private Placement Warrants, the issuance of the Shares upon exercise of the Private Placement Warrants and the fulfillment of, and compliance with, the respective terms hereof and thereof by the Company, do not and will not as of each Closing Date (a) conflict with or result in a breach of the terms, conditions or provisions of, (b) constitute a default under, (c) result in the creation of any lien, security interest, charge or encumbrance upon the Company’s capital stock or assets under, (d) result in a violation of, or (e) require any authorization, consent, approval, exemption, action, notice, declaration or filing, in each case, by or to any court or administrative or governmental body or agency pursuant to the certificate of incorporation or the bylaws of the Company (in effect on the date hereof or as may be amended prior to completion of the contemplated Public Offering), or any material law, statute, rule or regulation to which the Company is subject, or any agreement, order, judgment or decree to which the Company is subject, except for any filings required after the date hereof under federal or state securities laws.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jc w:val="both"/>
        <w:ind w:firstLine="656"/>
        <w:spacing w:after="0" w:line="291" w:lineRule="auto"/>
        <w:tabs>
          <w:tab w:leader="none" w:pos="1569"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Title to Securities.</w:t>
      </w:r>
      <w:r>
        <w:rPr>
          <w:rFonts w:ascii="Arial" w:cs="Arial" w:eastAsia="Arial" w:hAnsi="Arial"/>
          <w:sz w:val="16"/>
          <w:szCs w:val="16"/>
          <w:color w:val="auto"/>
        </w:rPr>
        <w:t xml:space="preserve"> Upon issuance in accordance with, and payment pursuant to, the terms hereof and the Warrant Agreement, the Placement Warrants will be duly and validly issued and the Shares issuable upon exercise of the Private Placement Warrants will be duly and validly issued, fully paid and nonassessable. On the date of issuance of the Placement Warrants, the Shares issuable upon exercise of the Placement Warrants shall have been reserved for issuance. Upon issuance in accordance with, and payment pursuant to, the terms hereof and the Warrant Agreement, each Purchaser will have good title to the Private Placement Warrants and the Shares issuable upon exercise of such Private Placement Warrants, free and clear of all liens, claims and encumbrances of any kind, other than (i) transfer restrictions hereunder and under the other agreements contemplated hereby, (ii) transfer restrictions under federal and state securities laws, and (iii) liens, claims or encumbrances imposed due to the actions of either Purchaser.</w:t>
      </w:r>
    </w:p>
    <w:p>
      <w:pPr>
        <w:spacing w:after="0" w:line="166" w:lineRule="exact"/>
        <w:rPr>
          <w:rFonts w:ascii="Arial" w:cs="Arial" w:eastAsia="Arial" w:hAnsi="Arial"/>
          <w:sz w:val="16"/>
          <w:szCs w:val="16"/>
          <w:color w:val="auto"/>
        </w:rPr>
      </w:pPr>
    </w:p>
    <w:p>
      <w:pPr>
        <w:jc w:val="both"/>
        <w:ind w:firstLine="656"/>
        <w:spacing w:after="0" w:line="263" w:lineRule="auto"/>
        <w:tabs>
          <w:tab w:leader="none" w:pos="137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Governmental Consents.</w:t>
      </w:r>
      <w:r>
        <w:rPr>
          <w:rFonts w:ascii="Arial" w:cs="Arial" w:eastAsia="Arial" w:hAnsi="Arial"/>
          <w:sz w:val="18"/>
          <w:szCs w:val="18"/>
          <w:color w:val="auto"/>
        </w:rPr>
        <w:t xml:space="preserve"> No permit, consent, approval or authorization of, or declaration to or filing with, any governmental authority is required in connection with the execution, delivery and performance by the Company of this Agreement or the consummation by the Company of any other transactions contemplated hereby.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 Representations and Warranties of the Purchaser. </w:t>
      </w:r>
      <w:r>
        <w:rPr>
          <w:rFonts w:ascii="Arial" w:cs="Arial" w:eastAsia="Arial" w:hAnsi="Arial"/>
          <w:sz w:val="18"/>
          <w:szCs w:val="18"/>
          <w:color w:val="auto"/>
        </w:rPr>
        <w:t>As a material inducement to the Company to enter into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issue and sell the Private Placement Warrants to the Purchaser, the Purchaser hereby, severally and not jointly, represents and warrants to the Company (which representations and warranties shall survive each Closing Date) that:</w:t>
      </w:r>
    </w:p>
    <w:p>
      <w:pPr>
        <w:spacing w:after="0" w:line="180" w:lineRule="exact"/>
        <w:rPr>
          <w:sz w:val="20"/>
          <w:szCs w:val="20"/>
          <w:color w:val="auto"/>
        </w:rPr>
      </w:pPr>
    </w:p>
    <w:p>
      <w:pPr>
        <w:ind w:firstLine="656"/>
        <w:spacing w:after="0" w:line="277" w:lineRule="auto"/>
        <w:tabs>
          <w:tab w:leader="none" w:pos="1417"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Organization and Requisite Authority.</w:t>
      </w:r>
      <w:r>
        <w:rPr>
          <w:rFonts w:ascii="Arial" w:cs="Arial" w:eastAsia="Arial" w:hAnsi="Arial"/>
          <w:sz w:val="18"/>
          <w:szCs w:val="18"/>
          <w:color w:val="auto"/>
        </w:rPr>
        <w:t xml:space="preserve"> The Purchaser possesses all requisite power and authority necessary to carry out the transactions contemplated by this Agreement.</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Authorization; No Breach.</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033"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This Agreement constitutes a valid and binding obligation of the Purchaser,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03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execution and delivery by the Purchaser of this Agreement and the fulfillment of and compliance with the terms hereof by the Purchaser does not and shall not as of each Closing Date conflict with or result in a breach by the Purchaser of the terms, conditions or provisions of any agreement, instrument, order, judgment or decree to which the Purchaser is subject that would materially impact its ability to perform its obligations hereunder.</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11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Purchaser is acquiring the Private Placement Warrants and, upon exercise of the Private Placement Warrants, the Shares issuable upon such exercise (collectively, the “</w:t>
      </w:r>
      <w:r>
        <w:rPr>
          <w:rFonts w:ascii="Arial" w:cs="Arial" w:eastAsia="Arial" w:hAnsi="Arial"/>
          <w:sz w:val="18"/>
          <w:szCs w:val="18"/>
          <w:b w:val="1"/>
          <w:bCs w:val="1"/>
          <w:color w:val="auto"/>
        </w:rPr>
        <w:t>Securities</w:t>
      </w:r>
      <w:r>
        <w:rPr>
          <w:rFonts w:ascii="Arial" w:cs="Arial" w:eastAsia="Arial" w:hAnsi="Arial"/>
          <w:sz w:val="18"/>
          <w:szCs w:val="18"/>
          <w:color w:val="auto"/>
        </w:rPr>
        <w:t>”), for the Purchaser’s own account, for investment purposes only and not with a view towards, or for resale in connection with, any public sale or distribution thereof.</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11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Purchaser is an “accredited investor” as such term is defined in Rule 501(a)(3) of Regulation D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Purchaser has not experienced a disqualifying event as enumerated pursuant to Rule 506(d) of Regulation D under the Securities Act.</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09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Purchaser understands that the Securities are being offered and will be sold to it in reliance on specific exemptions from the registration requirements of the United States federal and state securities laws and that the Company is relying upon the truth and accuracy of, and the Purchaser’s compliance with, the representations and warranties of the Purchaser set forth herein in order to determine the availability of such exemptions and the eligibility of the Purchaser to acquire such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ind w:firstLine="1304"/>
        <w:spacing w:after="0" w:line="277" w:lineRule="auto"/>
        <w:tabs>
          <w:tab w:leader="none" w:pos="208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Purchaser did not decide to enter into this Agreement as a result of any general solicitation or general advertising within the meaning of Rule 502(c) under the Securities Act.</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219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Purchaser has been furnished with all materials relating to the business, finances and operations of the Company and materials relating to the offer and sale of the Securities which have been requested by the Purchaser. The Purchaser has been afforded the opportunity to ask questions of the executive officers and directors of the Company. The Purchaser understands that its investment in the Securities involves a high degree of risk and it has sought such accounting, legal and tax advice as it has considered necessary to make an informed investment decision with respect to the acquisition of the Securities.</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2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Purchaser understands that no United States federal or state agency or any other government or governmental agency has passed on or made any recommendation or endorsement of the Securities or the fairness or suitability of the investment in the Securities by the Purchaser nor have such authorities passed upon or endorsed the merits of the offering of the Securities.</w:t>
      </w:r>
    </w:p>
    <w:p>
      <w:pPr>
        <w:spacing w:after="0" w:line="183" w:lineRule="exact"/>
        <w:rPr>
          <w:rFonts w:ascii="Arial" w:cs="Arial" w:eastAsia="Arial" w:hAnsi="Arial"/>
          <w:sz w:val="18"/>
          <w:szCs w:val="18"/>
          <w:color w:val="auto"/>
        </w:rPr>
      </w:pPr>
    </w:p>
    <w:p>
      <w:pPr>
        <w:jc w:val="both"/>
        <w:ind w:firstLine="1304"/>
        <w:spacing w:after="0" w:line="269" w:lineRule="auto"/>
        <w:tabs>
          <w:tab w:leader="none" w:pos="209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Purchaser understands that: (a) the Securities have not been and are not being registered under the Securities Act or any state securities laws, and may not be offered for sale, sold, assigned or transferred unless (1) subsequently registered thereunder or (2) sold in reliance on an exemption therefrom; and (b) except as specifically set forth in the Registration Rights Agreement, neither the Company nor any other person is under any obligation to register the Securities under the Securities Act or any state securities laws or to comply with the terms and conditions of any exemption thereunder. While the Purchaser understands that Rule 144 under the Securities Act is not available for the resale of securities initially issued by shell companies (other than business combination related shell companies) or issuers that have been at any time previously a shell company, the Purchaser understands that Rule 144 includes an exception to this prohibition if the following conditions are met: (i) the issuer of the securities that was formerly a shell company has ceased to be a shell company; (ii) the issuer of the securities is subject to the reporting requirements of Section 13 or 15(d)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(iii) the issuer of the securities has filed all Exchange Act reports and material required to be filed, as applicable, during the preceding 12 months (or such shorter period that the issuer was required to file such reports and materials), other than Form 8-K reports; and (iv) at least one year has elapsed from the time that the issuer filed current Form 10 type information with the SEC reflecting its status as an entity that is not a shell company.</w:t>
      </w:r>
    </w:p>
    <w:p>
      <w:pPr>
        <w:spacing w:after="0" w:line="178" w:lineRule="exact"/>
        <w:rPr>
          <w:rFonts w:ascii="Arial" w:cs="Arial" w:eastAsia="Arial" w:hAnsi="Arial"/>
          <w:sz w:val="17"/>
          <w:szCs w:val="17"/>
          <w:color w:val="auto"/>
        </w:rPr>
      </w:pPr>
    </w:p>
    <w:p>
      <w:pPr>
        <w:jc w:val="both"/>
        <w:ind w:firstLine="1304"/>
        <w:spacing w:after="0" w:line="255" w:lineRule="auto"/>
        <w:tabs>
          <w:tab w:leader="none" w:pos="205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Purchaser has knowledge and experience in financial and business matters, understands the high degree of risk associated with investments in the securities of companies in the development stage such as the Company, is capable of evaluating the merits and risks of an investment in the Securities and is able to bear the economic risk of an investment in the Securities in the amount contemplated hereunder for an indefinite period of time. The Purchaser has adequate means of providing for its current financial needs and contingencies and will have no current or anticipated future needs for liquidity which would be jeopardized by the investment in the Securities. The Purchaser can afford a complete loss of its investment in the Securities.</w:t>
      </w:r>
    </w:p>
    <w:p>
      <w:pPr>
        <w:spacing w:after="0" w:line="188"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4 Conditions of the Purchaser’s Obligations. </w:t>
      </w:r>
      <w:r>
        <w:rPr>
          <w:rFonts w:ascii="Arial" w:cs="Arial" w:eastAsia="Arial" w:hAnsi="Arial"/>
          <w:sz w:val="18"/>
          <w:szCs w:val="18"/>
          <w:color w:val="auto"/>
        </w:rPr>
        <w:t>The obligations of the Purchaser to purchase and pay for the Private Placement</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are subject to the fulfillment, on or before each Closing Date, of each of the following conditions:</w:t>
      </w:r>
    </w:p>
    <w:p>
      <w:pPr>
        <w:spacing w:after="0" w:line="166" w:lineRule="exact"/>
        <w:rPr>
          <w:sz w:val="20"/>
          <w:szCs w:val="20"/>
          <w:color w:val="auto"/>
        </w:rPr>
      </w:pPr>
    </w:p>
    <w:p>
      <w:pPr>
        <w:ind w:firstLine="656"/>
        <w:spacing w:after="0" w:line="277" w:lineRule="auto"/>
        <w:tabs>
          <w:tab w:leader="none" w:pos="143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Company contained in Section 2 shall be true and correct at and as of such Closing Date as though then made.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ind w:firstLine="656"/>
        <w:spacing w:after="0" w:line="277" w:lineRule="auto"/>
        <w:tabs>
          <w:tab w:leader="none" w:pos="1627"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xml:space="preserve"> The Company shall have performed and complied with all agreements, obligations and conditions contained in this Agreement that are required to be performed or complied with by it on or before such Closing Date.</w:t>
      </w:r>
    </w:p>
    <w:p>
      <w:pPr>
        <w:spacing w:after="0" w:line="170" w:lineRule="exact"/>
        <w:rPr>
          <w:rFonts w:ascii="Arial" w:cs="Arial" w:eastAsia="Arial" w:hAnsi="Arial"/>
          <w:sz w:val="18"/>
          <w:szCs w:val="18"/>
          <w:color w:val="auto"/>
        </w:rPr>
      </w:pPr>
    </w:p>
    <w:p>
      <w:pPr>
        <w:jc w:val="both"/>
        <w:ind w:firstLine="656"/>
        <w:spacing w:after="0" w:line="311" w:lineRule="auto"/>
        <w:tabs>
          <w:tab w:leader="none" w:pos="1551"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No Injunction.</w:t>
      </w:r>
      <w:r>
        <w:rPr>
          <w:rFonts w:ascii="Arial" w:cs="Arial" w:eastAsia="Arial" w:hAnsi="Arial"/>
          <w:sz w:val="16"/>
          <w:szCs w:val="16"/>
          <w:color w:val="auto"/>
        </w:rPr>
        <w:t xml:space="preserv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148" w:lineRule="exact"/>
        <w:rPr>
          <w:rFonts w:ascii="Arial" w:cs="Arial" w:eastAsia="Arial" w:hAnsi="Arial"/>
          <w:sz w:val="16"/>
          <w:szCs w:val="16"/>
          <w:color w:val="auto"/>
        </w:rPr>
      </w:pPr>
    </w:p>
    <w:p>
      <w:pPr>
        <w:ind w:firstLine="656"/>
        <w:spacing w:after="0" w:line="277" w:lineRule="auto"/>
        <w:tabs>
          <w:tab w:leader="none" w:pos="17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Warrant Agreement and Registration Rights Agreement.</w:t>
      </w:r>
      <w:r>
        <w:rPr>
          <w:rFonts w:ascii="Arial" w:cs="Arial" w:eastAsia="Arial" w:hAnsi="Arial"/>
          <w:sz w:val="18"/>
          <w:szCs w:val="18"/>
          <w:color w:val="auto"/>
        </w:rPr>
        <w:t xml:space="preserve"> The Company shall have entered into the Warrant Agreement and the Registration Rights Agreement, each on terms satisfactory to the Purchaser.</w:t>
      </w:r>
    </w:p>
    <w:p>
      <w:pPr>
        <w:spacing w:after="0" w:line="170" w:lineRule="exact"/>
        <w:rPr>
          <w:rFonts w:ascii="Arial" w:cs="Arial" w:eastAsia="Arial" w:hAnsi="Arial"/>
          <w:sz w:val="18"/>
          <w:szCs w:val="18"/>
          <w:color w:val="auto"/>
        </w:rPr>
      </w:pPr>
    </w:p>
    <w:p>
      <w:pPr>
        <w:ind w:right="20" w:firstLine="656"/>
        <w:spacing w:after="0" w:line="308" w:lineRule="auto"/>
        <w:tabs>
          <w:tab w:leader="none" w:pos="1523"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Corporate Consents.</w:t>
      </w:r>
      <w:r>
        <w:rPr>
          <w:rFonts w:ascii="Arial" w:cs="Arial" w:eastAsia="Arial" w:hAnsi="Arial"/>
          <w:sz w:val="17"/>
          <w:szCs w:val="17"/>
          <w:color w:val="auto"/>
        </w:rPr>
        <w:t xml:space="preserve"> The Company shall have obtained the consent of its Board of Directors authorizing the execution, delivery and performance of this Agreement and the Warrant Agreement and the issuance and sale of the Private Placement Warrants hereunder.</w:t>
      </w:r>
    </w:p>
    <w:p>
      <w:pPr>
        <w:spacing w:after="0" w:line="14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5 Conditions of the Company’s Obligations. </w:t>
      </w:r>
      <w:r>
        <w:rPr>
          <w:rFonts w:ascii="Arial" w:cs="Arial" w:eastAsia="Arial" w:hAnsi="Arial"/>
          <w:sz w:val="18"/>
          <w:szCs w:val="18"/>
          <w:color w:val="auto"/>
        </w:rPr>
        <w:t>The obligations of the Company to the Purchaser under this Agreement are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fulfillment, on or before each Closing Date, of each of the following conditions:</w:t>
      </w:r>
    </w:p>
    <w:p>
      <w:pPr>
        <w:spacing w:after="0" w:line="166" w:lineRule="exact"/>
        <w:rPr>
          <w:sz w:val="20"/>
          <w:szCs w:val="20"/>
          <w:color w:val="auto"/>
        </w:rPr>
      </w:pPr>
    </w:p>
    <w:p>
      <w:pPr>
        <w:ind w:firstLine="656"/>
        <w:spacing w:after="0" w:line="277" w:lineRule="auto"/>
        <w:tabs>
          <w:tab w:leader="none" w:pos="143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Purchaser contained in Section 3 shall be true and correct at and as of such Closing Date as though then made.</w:t>
      </w:r>
    </w:p>
    <w:p>
      <w:pPr>
        <w:spacing w:after="0" w:line="170" w:lineRule="exact"/>
        <w:rPr>
          <w:rFonts w:ascii="Arial" w:cs="Arial" w:eastAsia="Arial" w:hAnsi="Arial"/>
          <w:sz w:val="18"/>
          <w:szCs w:val="18"/>
          <w:color w:val="auto"/>
        </w:rPr>
      </w:pPr>
    </w:p>
    <w:p>
      <w:pPr>
        <w:ind w:firstLine="656"/>
        <w:spacing w:after="0" w:line="277" w:lineRule="auto"/>
        <w:tabs>
          <w:tab w:leader="none" w:pos="1627"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xml:space="preserve"> The Purchaser shall have performed and complied with all agreements, obligations and conditions contained in this Agreement that are required to be performed or complied with by the Purchaser on or before such Closing Date.</w:t>
      </w:r>
    </w:p>
    <w:p>
      <w:pPr>
        <w:spacing w:after="0" w:line="170" w:lineRule="exact"/>
        <w:rPr>
          <w:rFonts w:ascii="Arial" w:cs="Arial" w:eastAsia="Arial" w:hAnsi="Arial"/>
          <w:sz w:val="18"/>
          <w:szCs w:val="18"/>
          <w:color w:val="auto"/>
        </w:rPr>
      </w:pPr>
    </w:p>
    <w:p>
      <w:pPr>
        <w:ind w:firstLine="656"/>
        <w:spacing w:after="0" w:line="308" w:lineRule="auto"/>
        <w:tabs>
          <w:tab w:leader="none" w:pos="1533"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Corporate Consents.</w:t>
      </w:r>
      <w:r>
        <w:rPr>
          <w:rFonts w:ascii="Arial" w:cs="Arial" w:eastAsia="Arial" w:hAnsi="Arial"/>
          <w:sz w:val="17"/>
          <w:szCs w:val="17"/>
          <w:color w:val="auto"/>
        </w:rPr>
        <w:t xml:space="preserve"> The Company shall have obtained the consent of its Board of Directors authorizing the execution, delivery and performance of this Agreement and the Warrant Agreement and the issuance and sale of the Private Placement Warrants hereunder.</w:t>
      </w:r>
    </w:p>
    <w:p>
      <w:pPr>
        <w:spacing w:after="0" w:line="146" w:lineRule="exact"/>
        <w:rPr>
          <w:rFonts w:ascii="Arial" w:cs="Arial" w:eastAsia="Arial" w:hAnsi="Arial"/>
          <w:sz w:val="17"/>
          <w:szCs w:val="17"/>
          <w:color w:val="auto"/>
        </w:rPr>
      </w:pPr>
    </w:p>
    <w:p>
      <w:pPr>
        <w:jc w:val="both"/>
        <w:ind w:firstLine="656"/>
        <w:spacing w:after="0" w:line="311" w:lineRule="auto"/>
        <w:tabs>
          <w:tab w:leader="none" w:pos="1538"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No Injunction.</w:t>
      </w:r>
      <w:r>
        <w:rPr>
          <w:rFonts w:ascii="Arial" w:cs="Arial" w:eastAsia="Arial" w:hAnsi="Arial"/>
          <w:sz w:val="16"/>
          <w:szCs w:val="16"/>
          <w:color w:val="auto"/>
        </w:rPr>
        <w:t xml:space="preserv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Warrant Agreement.</w:t>
      </w:r>
    </w:p>
    <w:p>
      <w:pPr>
        <w:spacing w:after="0" w:line="148" w:lineRule="exact"/>
        <w:rPr>
          <w:rFonts w:ascii="Arial" w:cs="Arial" w:eastAsia="Arial" w:hAnsi="Arial"/>
          <w:sz w:val="16"/>
          <w:szCs w:val="16"/>
          <w:color w:val="auto"/>
        </w:rPr>
      </w:pPr>
    </w:p>
    <w:p>
      <w:pPr>
        <w:ind w:left="1400" w:hanging="744"/>
        <w:spacing w:after="0"/>
        <w:tabs>
          <w:tab w:leader="none" w:pos="140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Warrant Agreement.</w:t>
      </w:r>
      <w:r>
        <w:rPr>
          <w:rFonts w:ascii="Arial" w:cs="Arial" w:eastAsia="Arial" w:hAnsi="Arial"/>
          <w:sz w:val="18"/>
          <w:szCs w:val="18"/>
          <w:color w:val="auto"/>
        </w:rPr>
        <w:t xml:space="preserve"> The Company shall have entered into the Warrant Agreement on terms satisfactory to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6 Termination. </w:t>
      </w:r>
      <w:r>
        <w:rPr>
          <w:rFonts w:ascii="Arial" w:cs="Arial" w:eastAsia="Arial" w:hAnsi="Arial"/>
          <w:sz w:val="18"/>
          <w:szCs w:val="18"/>
          <w:color w:val="auto"/>
        </w:rPr>
        <w:t>This Agreement may be terminated at any time after December 31, 2021 upon the election by either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the Purchaser upon written notice to the other party if the closing of the Public Offering does not occur prior to such date.</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7 Survival of Representations and Warranties. </w:t>
      </w:r>
      <w:r>
        <w:rPr>
          <w:rFonts w:ascii="Arial" w:cs="Arial" w:eastAsia="Arial" w:hAnsi="Arial"/>
          <w:sz w:val="18"/>
          <w:szCs w:val="18"/>
          <w:color w:val="auto"/>
        </w:rPr>
        <w:t>All of the representations and warranties contained herein shall survive each</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Date.</w:t>
      </w:r>
    </w:p>
    <w:p>
      <w:pPr>
        <w:spacing w:after="0" w:line="162"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b w:val="1"/>
          <w:bCs w:val="1"/>
          <w:color w:val="auto"/>
        </w:rPr>
        <w:t xml:space="preserve">Section 8 Definitions. </w:t>
      </w:r>
      <w:r>
        <w:rPr>
          <w:rFonts w:ascii="Arial" w:cs="Arial" w:eastAsia="Arial" w:hAnsi="Arial"/>
          <w:sz w:val="17"/>
          <w:szCs w:val="17"/>
          <w:color w:val="auto"/>
        </w:rPr>
        <w:t>Terms used but not otherwise defined in this Agreement shall have the meaning assigned to such terms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on Form S-1 the Company plans to file with the U.S. Securities and Exchange Commission under the Securities Act.</w:t>
      </w:r>
    </w:p>
    <w:p>
      <w:pPr>
        <w:spacing w:after="0" w:line="14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color w:val="auto"/>
        </w:rPr>
        <w:t>Miscellaneous.</w:t>
      </w:r>
    </w:p>
    <w:p>
      <w:pPr>
        <w:spacing w:after="0" w:line="229" w:lineRule="exact"/>
        <w:rPr>
          <w:sz w:val="20"/>
          <w:szCs w:val="20"/>
          <w:color w:val="auto"/>
        </w:rPr>
      </w:pPr>
    </w:p>
    <w:p>
      <w:pPr>
        <w:jc w:val="both"/>
        <w:ind w:firstLine="656"/>
        <w:spacing w:after="0" w:line="301" w:lineRule="auto"/>
        <w:tabs>
          <w:tab w:leader="none" w:pos="1363"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Except as otherwise expressly provided herein, all covenants and agreements contained in this Agreement by or on behalf of any of the parties hereto shall bind and inure to the benefit of the respective successors of the parties hereto whether so expressed or not. Notwithstanding the foregoing or anything to the contrary herein, the parties may not assign this Agreement without the prior written consent of the other party hereto, other than assignments by the Purchaser to its affiliates (including, without limitation, one or more of its members).</w:t>
      </w:r>
    </w:p>
    <w:p>
      <w:pPr>
        <w:spacing w:after="0" w:line="157" w:lineRule="exact"/>
        <w:rPr>
          <w:rFonts w:ascii="Arial" w:cs="Arial" w:eastAsia="Arial" w:hAnsi="Arial"/>
          <w:sz w:val="16"/>
          <w:szCs w:val="16"/>
          <w:color w:val="auto"/>
        </w:rPr>
      </w:pPr>
    </w:p>
    <w:p>
      <w:pPr>
        <w:jc w:val="both"/>
        <w:ind w:firstLine="656"/>
        <w:spacing w:after="0" w:line="263" w:lineRule="auto"/>
        <w:tabs>
          <w:tab w:leader="none" w:pos="1398"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83" w:lineRule="exact"/>
        <w:rPr>
          <w:rFonts w:ascii="Arial" w:cs="Arial" w:eastAsia="Arial" w:hAnsi="Arial"/>
          <w:sz w:val="18"/>
          <w:szCs w:val="18"/>
          <w:color w:val="auto"/>
        </w:rPr>
      </w:pPr>
    </w:p>
    <w:p>
      <w:pPr>
        <w:jc w:val="both"/>
        <w:ind w:firstLine="656"/>
        <w:spacing w:after="0" w:line="301" w:lineRule="auto"/>
        <w:tabs>
          <w:tab w:leader="none" w:pos="1438"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Agreement may be executed simultaneously in two or more counterparts, none of which need contain the signatures of more than one party, but all such counterparts taken together shall constitute one and the same agreement.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57" w:lineRule="exact"/>
        <w:rPr>
          <w:rFonts w:ascii="Arial" w:cs="Arial" w:eastAsia="Arial" w:hAnsi="Arial"/>
          <w:sz w:val="16"/>
          <w:szCs w:val="16"/>
          <w:color w:val="auto"/>
        </w:rPr>
      </w:pPr>
    </w:p>
    <w:p>
      <w:pPr>
        <w:ind w:firstLine="656"/>
        <w:spacing w:after="0" w:line="342" w:lineRule="auto"/>
        <w:tabs>
          <w:tab w:leader="none" w:pos="1363"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Descriptive Headings; Interpretation.</w:t>
      </w:r>
      <w:r>
        <w:rPr>
          <w:rFonts w:ascii="Arial" w:cs="Arial" w:eastAsia="Arial" w:hAnsi="Arial"/>
          <w:sz w:val="16"/>
          <w:szCs w:val="16"/>
          <w:color w:val="auto"/>
        </w:rPr>
        <w:t xml:space="preserve"> The descriptive headings of this Agreement are inserted for convenience only and do not constitute a substantive part of this Agreement. The use of the word “including” in this Agreement shall be by way of example rather than by limitation.</w:t>
      </w:r>
    </w:p>
    <w:p>
      <w:pPr>
        <w:spacing w:after="0" w:line="123" w:lineRule="exact"/>
        <w:rPr>
          <w:rFonts w:ascii="Arial" w:cs="Arial" w:eastAsia="Arial" w:hAnsi="Arial"/>
          <w:sz w:val="16"/>
          <w:szCs w:val="16"/>
          <w:color w:val="auto"/>
        </w:rPr>
      </w:pPr>
    </w:p>
    <w:p>
      <w:pPr>
        <w:ind w:firstLine="656"/>
        <w:spacing w:after="0" w:line="277" w:lineRule="auto"/>
        <w:tabs>
          <w:tab w:leader="none" w:pos="1482"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deemed to be a contract made under the laws of the State of New York and for all purposes shall be construed in accordance with the internal laws of the State of New York.</w:t>
      </w:r>
    </w:p>
    <w:p>
      <w:pPr>
        <w:spacing w:after="0" w:line="170" w:lineRule="exact"/>
        <w:rPr>
          <w:rFonts w:ascii="Arial" w:cs="Arial" w:eastAsia="Arial" w:hAnsi="Arial"/>
          <w:sz w:val="18"/>
          <w:szCs w:val="18"/>
          <w:color w:val="auto"/>
        </w:rPr>
      </w:pPr>
    </w:p>
    <w:p>
      <w:pPr>
        <w:ind w:firstLine="656"/>
        <w:spacing w:after="0" w:line="277" w:lineRule="auto"/>
        <w:tabs>
          <w:tab w:leader="none" w:pos="1431"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This Agreement may not be amended, modified or waived as to any particular provision, except by a written instrument executed by all parties 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executed this Agreement to be effective as of the date first set forth above.</w:t>
      </w:r>
    </w:p>
    <w:p>
      <w:pPr>
        <w:spacing w:after="0" w:line="24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AMCI ACQUISITION CORP. II, a Delaware corporation</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Nimesh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Nimesh Patel</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PURCHASER:</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AMCI SPONSOR II LLC, a Delaware limited liability company</w:t>
      </w:r>
    </w:p>
    <w:p>
      <w:pPr>
        <w:spacing w:after="0" w:line="23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Nimesh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Name: Nimesh Patel</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Title: Sole Managing Member</w:t>
      </w:r>
    </w:p>
    <w:p>
      <w:pPr>
        <w:spacing w:after="0" w:line="21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[Signature Page to Private Placement Warrants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288925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00"/>
          </w:cols>
          <w:pgMar w:left="980" w:top="904" w:right="1319" w:bottom="1440" w:gutter="0" w:footer="0" w:header="0"/>
        </w:sectPr>
      </w:pPr>
    </w:p>
    <w:bookmarkStart w:id="133" w:name="page134"/>
    <w:bookmarkEnd w:id="133"/>
    <w:p>
      <w:pPr>
        <w:ind w:left="10120"/>
        <w:spacing w:after="0"/>
        <w:rPr>
          <w:sz w:val="20"/>
          <w:szCs w:val="20"/>
          <w:color w:val="auto"/>
        </w:rPr>
      </w:pPr>
      <w:r>
        <w:rPr>
          <w:rFonts w:ascii="Arial" w:cs="Arial" w:eastAsia="Arial" w:hAnsi="Arial"/>
          <w:sz w:val="19"/>
          <w:szCs w:val="19"/>
          <w:b w:val="1"/>
          <w:bCs w:val="1"/>
          <w:color w:val="auto"/>
        </w:rPr>
        <w:t>Exhibit 10.5</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AMCI ACQUISITION CORP.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600 Steamboat Road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Greenwich, CT 06830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AMCI Sponsor 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Steamboat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Administrative Services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This letter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by and among AMCI Acquisition Corp. II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AMCI Sponsor II LLC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dated as of the date hereof, will confirm our agreement that, commencing on the date the securities of the Company are first listed on The Nasdaq Capital Market (the “</w:t>
      </w:r>
      <w:r>
        <w:rPr>
          <w:rFonts w:ascii="Arial" w:cs="Arial" w:eastAsia="Arial" w:hAnsi="Arial"/>
          <w:sz w:val="16"/>
          <w:szCs w:val="16"/>
          <w:b w:val="1"/>
          <w:bCs w:val="1"/>
          <w:i w:val="1"/>
          <w:iCs w:val="1"/>
          <w:color w:val="auto"/>
        </w:rPr>
        <w:t>Listing Date</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pursuant to a Registration Statement on Form S-1 and prospectus filed with the U.S. Securities and Exchange Commission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and continuing until the earlier of the consummation by the Company of an initial business combination or the Company’s liquidation (in each case as described in the Registration Statement) (such earlier date hereinafter referred to as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161" w:lineRule="exact"/>
        <w:rPr>
          <w:sz w:val="20"/>
          <w:szCs w:val="20"/>
          <w:color w:val="auto"/>
        </w:rPr>
      </w:pPr>
    </w:p>
    <w:p>
      <w:pPr>
        <w:jc w:val="both"/>
        <w:ind w:firstLine="656"/>
        <w:spacing w:after="0" w:line="311" w:lineRule="auto"/>
        <w:tabs>
          <w:tab w:leader="none" w:pos="147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Sponsor shall make available, or cause to be made available, to the Company, at 600 Steamboat Road, Greenwich, CT 06830 (or any successor location), office space and secretarial and administrative services as may be reasonably required by the Company. In exchange therefor, the Company shall pay the Sponsor $10,000 per month on the Listing Date and continuing monthly thereafter until the Termination Date; and</w:t>
      </w:r>
    </w:p>
    <w:p>
      <w:pPr>
        <w:spacing w:after="0" w:line="148" w:lineRule="exact"/>
        <w:rPr>
          <w:rFonts w:ascii="Arial" w:cs="Arial" w:eastAsia="Arial" w:hAnsi="Arial"/>
          <w:sz w:val="16"/>
          <w:szCs w:val="16"/>
          <w:color w:val="auto"/>
        </w:rPr>
      </w:pPr>
    </w:p>
    <w:p>
      <w:pPr>
        <w:jc w:val="both"/>
        <w:ind w:firstLine="656"/>
        <w:spacing w:after="0" w:line="254" w:lineRule="auto"/>
        <w:tabs>
          <w:tab w:leader="none" w:pos="141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Sponsor hereby irrevocably waives any and all right, title, interest, causes of action and claims of any kind as a result of, or arising out of, this Agreement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and any and all right to seek payment of any amounts due to it out of, the trust account established for the benefit of the public stockholders of the Company and into which substantially all of the proceeds of the Company’s initial public offering will be deposited (the “</w:t>
      </w:r>
      <w:r>
        <w:rPr>
          <w:rFonts w:ascii="Arial" w:cs="Arial" w:eastAsia="Arial" w:hAnsi="Arial"/>
          <w:sz w:val="18"/>
          <w:szCs w:val="18"/>
          <w:b w:val="1"/>
          <w:bCs w:val="1"/>
          <w:i w:val="1"/>
          <w:iCs w:val="1"/>
          <w:color w:val="auto"/>
        </w:rPr>
        <w:t>Trust Account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hereby irrevocably waives any Claim it may have in the future as a result of, or arising out of, this Agreement, which Claim would reduce, encumber or otherwise adversely affect the Trust Account or any monies or other assets in the Trust Account, and further agrees not to seek recourse, reimbursement, payment or satisfaction of any Claim against the Trust Account or any monies or other assets in the Trust Account for any reason whatsoever.</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may not be amended, modified or waived as to any particular provision, except by a written instrument executed by the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party hereto may assign either this Agreement or any of its rights, interests, or obligations hereunder without the prior written approval of the other party. Any purported assignment in violation of this paragraph shall be void and ineffectual and shall not operate to transfer or assign any interest or title to the purported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4" w:name="page135"/>
    <w:bookmarkEnd w:id="134"/>
    <w:p>
      <w:pPr>
        <w:ind w:firstLine="648"/>
        <w:spacing w:after="0" w:line="308" w:lineRule="auto"/>
        <w:rPr>
          <w:sz w:val="20"/>
          <w:szCs w:val="20"/>
          <w:color w:val="auto"/>
        </w:rPr>
      </w:pPr>
      <w:r>
        <w:rPr>
          <w:rFonts w:ascii="Arial" w:cs="Arial" w:eastAsia="Arial" w:hAnsi="Arial"/>
          <w:sz w:val="17"/>
          <w:szCs w:val="17"/>
          <w:color w:val="auto"/>
        </w:rPr>
        <w:t>This Agreement constitutes the entire relationship of the parties hereto, and any litigation between the parties (whether grounded in contract, tort, statute, law or equity) shall be governed by, construed in accordance with, and interpreted pursuant to the laws of the State of New York.</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ind w:left="5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AMCI ACQUISITION CORP. II</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Nimesh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Nimesh Patel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AMCI SPONSOR II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Nimesh Patel</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Nimesh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-130175</wp:posOffset>
            </wp:positionV>
            <wp:extent cx="33515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Sole Managing Member</w:t>
      </w:r>
    </w:p>
    <w:p>
      <w:pPr>
        <w:spacing w:after="0" w:line="23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[Signature Page to Administrative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AMCI Acquisition Corp. II Announces Pricing of $150 Million Initial Public Offering</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Greenwich, CT – August 3, 2021 – </w:t>
      </w:r>
      <w:r>
        <w:rPr>
          <w:rFonts w:ascii="Arial" w:cs="Arial" w:eastAsia="Arial" w:hAnsi="Arial"/>
          <w:sz w:val="18"/>
          <w:szCs w:val="18"/>
          <w:color w:val="auto"/>
        </w:rPr>
        <w:t>AMCI Acquisition Corp. II (the “Company”) today announced the pricing of its initial public offering of 15,000,000</w:t>
      </w:r>
      <w:r>
        <w:rPr>
          <w:rFonts w:ascii="Arial" w:cs="Arial" w:eastAsia="Arial" w:hAnsi="Arial"/>
          <w:sz w:val="18"/>
          <w:szCs w:val="18"/>
          <w:b w:val="1"/>
          <w:bCs w:val="1"/>
          <w:color w:val="auto"/>
        </w:rPr>
        <w:t xml:space="preserve"> </w:t>
      </w:r>
      <w:r>
        <w:rPr>
          <w:rFonts w:ascii="Arial" w:cs="Arial" w:eastAsia="Arial" w:hAnsi="Arial"/>
          <w:sz w:val="18"/>
          <w:szCs w:val="18"/>
          <w:color w:val="auto"/>
        </w:rPr>
        <w:t>units at a price of $10.00 per unit. The units will be listed on the Nasdaq Capital Market (“Nasdaq”) and trade under the ticker symbol “AMCIU” beginning on August 4, 2021. Each unit consists of one share of Class A common stock and one-half of one redeemable warrant, with each whole warrant exercisable to purchase one share of Class A common stock at a price of $11.50 per share. Only whole warrants will be exercisable. Once the securities comprising the units begin separate trading, the shares of Class A common stock and warrants are expected to be listed on Nasdaq under the symbols “AMCI” and “AMCIW,” respectively.</w:t>
      </w:r>
    </w:p>
    <w:p>
      <w:pPr>
        <w:spacing w:after="0" w:line="19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AMCI Acquisition Corp. II is a blank check company whose business purpose is to effect a merger, capital stock exchange, asset acquisition, stock purchase, reorganization or similar business combination with one or more businesses. The Company intends to focus on investment opportunities centered around the themes of sustainability, decarbonization and energy transition.</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Evercore ISI is acting as the sole book-runner for the offering. The Company has granted the underwriters a 45-day option to purchase up to an additional 2,250,000 units at the initial public offering price to cover over-allotments, if any.</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offering is being made only by means of a prospectus. When available, copies of the prospectus relating to this offering may be obtained from Evercore Group L.L.C., Attention: Equity Capital Markets, 55 East 52nd Street, 35th Floor, New York, NY 10055, by telephone at (888) 474-0200 or by e-mail at ecm.prospectus@evercore.com.</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registration statement relating to these securities was declared effective by the U.S. Securities and Exchange Commission (the “SEC”) on August 3, 2021. 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Looking-Statements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press release contains statements that constitute “forward-looking statements,” including with respect to the initial public offering and search for an initial business combination. No assurance can be given that the offering discussed above will be completed on the terms described, or at all, or that the proceeds of the offering will be used as indicated. Forward-looking statements are subject to numerous conditions, many of which are beyond the control of the Company, including those set forth in the Risk Factors section of the Company’s registration statement for the initial public offering filed with the SEC. Copies are available on the SEC’s website, www.sec.gov . The Company undertakes no obligation to update these statements for revisions or changes after the date of this release, except as required by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Nimesh Patel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AMCI Acquisition Corp.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203-625-9200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npatel@amcigroup.com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2"/>
          <w:szCs w:val="22"/>
          <w:b w:val="1"/>
          <w:bCs w:val="1"/>
          <w:color w:val="auto"/>
        </w:rPr>
        <w:t>Exhibit 99.2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AMCI Acquisition Corp. II Announces Closing of $150 Million Initial Public Offering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GREENWICH, Conn., August 6, 2021 – AMCI Acquisition Corp. II (Nasdaq: AMCIU) (the “Company”) announced today that it closed its initial public offering of 15,000,000 units. The offering was priced at $10.00 per unit, resulting in gross proceeds of $150,000,000.</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units began trading on The Nasdaq Capital Market (“Nasdaq”) under the ticker symbol “AMCIU” on August 4, 2021. Each unit consists of one share of Class A common stock and one-half of one redeemable warrant, with each whole warrant exercisable to purchase one share of the Class A common stock at a price of $11.50 per share. Only whole warrants will be exercisable. After the securities comprising the units begin separate trading, the shares of Class A common stock and the warrants are expected to be listed on Nasdaq under the symbols “AMCI” and “AMCIW,” respectively. No fractional warrants will be issued upon separation of the units and only whole warrants will trade.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AMCI Acquisition Corp. II is a blank check company whose business purpose is to effect a merger, capital stock exchange, asset acquisition, stock purchase, reorganization or similar business combination with one or more businesses. The Company intends to focus on investment opportunities centered around the themes of sustainability, decarbonization and energy transition.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Evercore ISI acted as the sole book-running manager for the offering. The Company has granted the underwriters a 45-day option to purchase up to an additional 2,250,000 units at the initial public offering price to cover over-allotments, if any.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offering was made only by means of a prospectus. When available, copies of the prospectus relating to this offering may be obtained from Evercore Group L.L.C., Attention: Equity Capital Markets, 55 East 52nd Street, 35th Floor, New York, NY 10055, by telephone at (888) 474-0200 or by e-mail at </w:t>
      </w:r>
      <w:r>
        <w:rPr>
          <w:rFonts w:ascii="Arial" w:cs="Arial" w:eastAsia="Arial" w:hAnsi="Arial"/>
          <w:sz w:val="18"/>
          <w:szCs w:val="18"/>
          <w:u w:val="single" w:color="auto"/>
          <w:color w:val="auto"/>
        </w:rPr>
        <w:t>ecm.prospectus@evercore.com</w:t>
      </w:r>
      <w:r>
        <w:rPr>
          <w:rFonts w:ascii="Arial" w:cs="Arial" w:eastAsia="Arial" w:hAnsi="Arial"/>
          <w:sz w:val="18"/>
          <w:szCs w:val="18"/>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registration statement relating to these securities was declared effective by the U.S. Securities and Exchange Commission (the “SEC”) on August 3, 2021. 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Concerning Forward-Looking Statements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press release contains statements that constitute “forward-looking statements,” including with respect to the search for an initial business combination. No assurance can be given that the net proceeds of the offering will be used as indicated. Forward-looking statements are subject to numerous conditions, many of which are beyond the control of the Company, including those set forth in the Risk Factors section of the Company’s registration statement and prospectus for the Company’s offering filed with the SEC. Copies of such filings are available on the SEC’s website, www.sec.gov. The Company undertakes no obligation to update these statements for revisions or changes after the date of this release, except as required by law.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Nimesh Patel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AMCI Acquisition Corp.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203-625-9200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npatel@amcigroup.com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1)"/>
      <w:numFmt w:val="lowerLetter"/>
      <w:start w:val="1"/>
    </w:lvl>
  </w:abstractNum>
  <w:abstractNum w:abstractNumId="3">
    <w:nsid w:val="39386575"/>
    <w:multiLevelType w:val="hybridMultilevel"/>
    <w:lvl w:ilvl="0">
      <w:lvlJc w:val="left"/>
      <w:lvlText w:val="(%1)"/>
      <w:numFmt w:val="lowerLetter"/>
      <w:start w:val="3"/>
    </w:lvl>
  </w:abstractNum>
  <w:abstractNum w:abstractNumId="4">
    <w:nsid w:val="1CF10FD8"/>
    <w:multiLevelType w:val="hybridMultilevel"/>
    <w:lvl w:ilvl="0">
      <w:lvlJc w:val="left"/>
      <w:lvlText w:val="(%1)"/>
      <w:numFmt w:val="lowerLetter"/>
      <w:start w:val="7"/>
    </w:lvl>
  </w:abstractNum>
  <w:abstractNum w:abstractNumId="5">
    <w:nsid w:val="180115BE"/>
    <w:multiLevelType w:val="hybridMultilevel"/>
    <w:lvl w:ilvl="0">
      <w:lvlJc w:val="left"/>
      <w:lvlText w:val="(%1)"/>
      <w:numFmt w:val="lowerLetter"/>
      <w:start w:val="15"/>
    </w:lvl>
  </w:abstractNum>
  <w:abstractNum w:abstractNumId="6">
    <w:nsid w:val="235BA861"/>
    <w:multiLevelType w:val="hybridMultilevel"/>
    <w:lvl w:ilvl="0">
      <w:lvlJc w:val="left"/>
      <w:lvlText w:val="(%1)"/>
      <w:numFmt w:val="lowerLetter"/>
      <w:start w:val="21"/>
    </w:lvl>
  </w:abstractNum>
  <w:abstractNum w:abstractNumId="7">
    <w:nsid w:val="47398C89"/>
    <w:multiLevelType w:val="hybridMultilevel"/>
    <w:lvl w:ilvl="0">
      <w:lvlJc w:val="left"/>
      <w:lvlText w:val="(%1)"/>
      <w:numFmt w:val="lowerLetter"/>
      <w:start w:val="26"/>
    </w:lvl>
  </w:abstractNum>
  <w:abstractNum w:abstractNumId="8">
    <w:nsid w:val="354FE9F9"/>
    <w:multiLevelType w:val="hybridMultilevel"/>
    <w:lvl w:ilvl="0">
      <w:lvlJc w:val="left"/>
      <w:lvlText w:val="%1"/>
      <w:numFmt w:val="lowerLetter"/>
      <w:start w:val="1"/>
    </w:lvl>
    <w:lvl w:ilvl="1">
      <w:lvlJc w:val="left"/>
      <w:lvlText w:val="(%2)"/>
      <w:numFmt w:val="lowerLetter"/>
      <w:start w:val="27"/>
    </w:lvl>
  </w:abstractNum>
  <w:abstractNum w:abstractNumId="9">
    <w:nsid w:val="15B5AF5C"/>
    <w:multiLevelType w:val="hybridMultilevel"/>
    <w:lvl w:ilvl="0">
      <w:lvlJc w:val="left"/>
      <w:lvlText w:val="(%1)"/>
      <w:numFmt w:val="lowerLetter"/>
      <w:start w:val="35"/>
    </w:lvl>
    <w:lvl w:ilvl="1">
      <w:lvlJc w:val="left"/>
      <w:lvlText w:val="(%2)"/>
      <w:numFmt w:val="lowerLetter"/>
      <w:start w:val="28"/>
    </w:lvl>
  </w:abstractNum>
  <w:abstractNum w:abstractNumId="10">
    <w:nsid w:val="741226BB"/>
    <w:multiLevelType w:val="hybridMultilevel"/>
    <w:lvl w:ilvl="0">
      <w:lvlJc w:val="left"/>
      <w:lvlText w:val="(%1)"/>
      <w:numFmt w:val="lowerLetter"/>
      <w:start w:val="31"/>
    </w:lvl>
  </w:abstractNum>
  <w:abstractNum w:abstractNumId="11">
    <w:nsid w:val="D34B6A8"/>
    <w:multiLevelType w:val="hybridMultilevel"/>
    <w:lvl w:ilvl="0">
      <w:lvlJc w:val="left"/>
      <w:lvlText w:val="(%1)"/>
      <w:numFmt w:val="lowerLetter"/>
      <w:start w:val="36"/>
    </w:lvl>
  </w:abstractNum>
  <w:abstractNum w:abstractNumId="12">
    <w:nsid w:val="10233C99"/>
    <w:multiLevelType w:val="hybridMultilevel"/>
    <w:lvl w:ilvl="0">
      <w:lvlJc w:val="left"/>
      <w:lvlText w:val="(%1)"/>
      <w:numFmt w:val="lowerLetter"/>
      <w:start w:val="39"/>
    </w:lvl>
  </w:abstractNum>
  <w:abstractNum w:abstractNumId="13">
    <w:nsid w:val="3F6AB60F"/>
    <w:multiLevelType w:val="hybridMultilevel"/>
    <w:lvl w:ilvl="0">
      <w:lvlJc w:val="left"/>
      <w:lvlText w:val="%1"/>
      <w:numFmt w:val="lowerLetter"/>
      <w:start w:val="1"/>
    </w:lvl>
    <w:lvl w:ilvl="1">
      <w:lvlJc w:val="left"/>
      <w:lvlText w:val="(%2)"/>
      <w:numFmt w:val="lowerLetter"/>
      <w:start w:val="46"/>
    </w:lvl>
  </w:abstractNum>
  <w:abstractNum w:abstractNumId="14">
    <w:nsid w:val="61574095"/>
    <w:multiLevelType w:val="hybridMultilevel"/>
    <w:lvl w:ilvl="0">
      <w:lvlJc w:val="left"/>
      <w:lvlText w:val="(%1)"/>
      <w:numFmt w:val="lowerLetter"/>
      <w:start w:val="9"/>
    </w:lvl>
    <w:lvl w:ilvl="1">
      <w:lvlJc w:val="left"/>
      <w:lvlText w:val="(%2)"/>
      <w:numFmt w:val="lowerLetter"/>
      <w:start w:val="51"/>
    </w:lvl>
  </w:abstractNum>
  <w:abstractNum w:abstractNumId="15">
    <w:nsid w:val="7E0C57B1"/>
    <w:multiLevelType w:val="hybridMultilevel"/>
    <w:lvl w:ilvl="0">
      <w:lvlJc w:val="left"/>
      <w:lvlText w:val="(%1)"/>
      <w:numFmt w:val="lowerLetter"/>
      <w:start w:val="53"/>
    </w:lvl>
  </w:abstractNum>
  <w:abstractNum w:abstractNumId="16">
    <w:nsid w:val="77AE35EB"/>
    <w:multiLevelType w:val="hybridMultilevel"/>
    <w:lvl w:ilvl="0">
      <w:lvlJc w:val="left"/>
      <w:lvlText w:val="(%1)"/>
      <w:numFmt w:val="lowerLetter"/>
      <w:start w:val="57"/>
    </w:lvl>
  </w:abstractNum>
  <w:abstractNum w:abstractNumId="17">
    <w:nsid w:val="579BE4F1"/>
    <w:multiLevelType w:val="hybridMultilevel"/>
    <w:lvl w:ilvl="0">
      <w:lvlJc w:val="left"/>
      <w:lvlText w:val="(%1)"/>
      <w:numFmt w:val="lowerLetter"/>
      <w:start w:val="1"/>
    </w:lvl>
  </w:abstractNum>
  <w:abstractNum w:abstractNumId="18">
    <w:nsid w:val="310C50B3"/>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9">
    <w:nsid w:val="5FF87E05"/>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2"/>
    </w:lvl>
  </w:abstractNum>
  <w:abstractNum w:abstractNumId="20">
    <w:nsid w:val="2F305DEF"/>
    <w:multiLevelType w:val="hybridMultilevel"/>
    <w:lvl w:ilvl="0">
      <w:lvlJc w:val="left"/>
      <w:lvlText w:val="(%1)"/>
      <w:numFmt w:val="lowerRoman"/>
      <w:start w:val="4"/>
    </w:lvl>
  </w:abstractNum>
  <w:abstractNum w:abstractNumId="21">
    <w:nsid w:val="25A70BF7"/>
    <w:multiLevelType w:val="hybridMultilevel"/>
    <w:lvl w:ilvl="0">
      <w:lvlJc w:val="left"/>
      <w:lvlText w:val="(%1)"/>
      <w:numFmt w:val="lowerLetter"/>
      <w:start w:val="1"/>
    </w:lvl>
  </w:abstractNum>
  <w:abstractNum w:abstractNumId="22">
    <w:nsid w:val="1DBABF00"/>
    <w:multiLevelType w:val="hybridMultilevel"/>
    <w:lvl w:ilvl="0">
      <w:lvlJc w:val="left"/>
      <w:lvlText w:val="(%1)"/>
      <w:numFmt w:val="lowerLetter"/>
      <w:start w:val="3"/>
    </w:lvl>
  </w:abstractNum>
  <w:abstractNum w:abstractNumId="23">
    <w:nsid w:val="4AD084E9"/>
    <w:multiLevelType w:val="hybridMultilevel"/>
    <w:lvl w:ilvl="0">
      <w:lvlJc w:val="left"/>
      <w:lvlText w:val="(%1)"/>
      <w:numFmt w:val="lowerLetter"/>
      <w:start w:val="6"/>
    </w:lvl>
  </w:abstractNum>
  <w:abstractNum w:abstractNumId="24">
    <w:nsid w:val="1F48EAA1"/>
    <w:multiLevelType w:val="hybridMultilevel"/>
    <w:lvl w:ilvl="0">
      <w:lvlJc w:val="left"/>
      <w:lvlText w:val="(%1)"/>
      <w:numFmt w:val="lowerLetter"/>
      <w:start w:val="10"/>
    </w:lvl>
  </w:abstractNum>
  <w:abstractNum w:abstractNumId="25">
    <w:nsid w:val="1381823A"/>
    <w:multiLevelType w:val="hybridMultilevel"/>
    <w:lvl w:ilvl="0">
      <w:lvlJc w:val="left"/>
      <w:lvlText w:val="%1"/>
      <w:numFmt w:val="lowerRoman"/>
      <w:start w:val="1"/>
    </w:lvl>
    <w:lvl w:ilvl="1">
      <w:lvlJc w:val="left"/>
      <w:lvlText w:val="(%2)"/>
      <w:numFmt w:val="lowerLetter"/>
      <w:start w:val="15"/>
    </w:lvl>
  </w:abstractNum>
  <w:abstractNum w:abstractNumId="26">
    <w:nsid w:val="5DB70AE5"/>
    <w:multiLevelType w:val="hybridMultilevel"/>
    <w:lvl w:ilvl="0">
      <w:lvlJc w:val="left"/>
      <w:lvlText w:val="(%1)"/>
      <w:numFmt w:val="lowerRoman"/>
      <w:start w:val="4"/>
    </w:lvl>
    <w:lvl w:ilvl="1">
      <w:lvlJc w:val="left"/>
      <w:lvlText w:val="(%2)"/>
      <w:numFmt w:val="lowerLetter"/>
      <w:start w:val="17"/>
    </w:lvl>
  </w:abstractNum>
  <w:abstractNum w:abstractNumId="27">
    <w:nsid w:val="100F8FCA"/>
    <w:multiLevelType w:val="hybridMultilevel"/>
    <w:lvl w:ilvl="0">
      <w:lvlJc w:val="left"/>
      <w:lvlText w:val="(%1)"/>
      <w:numFmt w:val="lowerLetter"/>
      <w:start w:val="18"/>
    </w:lvl>
  </w:abstractNum>
  <w:abstractNum w:abstractNumId="28">
    <w:nsid w:val="6590700B"/>
    <w:multiLevelType w:val="hybridMultilevel"/>
    <w:lvl w:ilvl="0">
      <w:lvlJc w:val="left"/>
      <w:lvlText w:val="(%1)"/>
      <w:numFmt w:val="lowerLetter"/>
      <w:start w:val="22"/>
    </w:lvl>
  </w:abstractNum>
  <w:abstractNum w:abstractNumId="29">
    <w:nsid w:val="15014ACB"/>
    <w:multiLevelType w:val="hybridMultilevel"/>
    <w:lvl w:ilvl="0">
      <w:lvlJc w:val="left"/>
      <w:lvlText w:val="(%1)"/>
      <w:numFmt w:val="lowerLetter"/>
      <w:start w:val="26"/>
    </w:lvl>
  </w:abstractNum>
  <w:abstractNum w:abstractNumId="30">
    <w:nsid w:val="5F5E7FD0"/>
    <w:multiLevelType w:val="hybridMultilevel"/>
    <w:lvl w:ilvl="0">
      <w:lvlJc w:val="left"/>
      <w:lvlText w:val="(%1)"/>
      <w:numFmt w:val="lowerLetter"/>
      <w:start w:val="27"/>
    </w:lvl>
  </w:abstractNum>
  <w:abstractNum w:abstractNumId="31">
    <w:nsid w:val="98A3148"/>
    <w:multiLevelType w:val="hybridMultilevel"/>
    <w:lvl w:ilvl="0">
      <w:lvlJc w:val="left"/>
      <w:lvlText w:val="(%1)"/>
      <w:numFmt w:val="lowerLetter"/>
      <w:start w:val="33"/>
    </w:lvl>
  </w:abstractNum>
  <w:abstractNum w:abstractNumId="32">
    <w:nsid w:val="799D0247"/>
    <w:multiLevelType w:val="hybridMultilevel"/>
    <w:lvl w:ilvl="0">
      <w:lvlJc w:val="left"/>
      <w:lvlText w:val="(%1)"/>
      <w:numFmt w:val="lowerLetter"/>
      <w:start w:val="39"/>
    </w:lvl>
  </w:abstractNum>
  <w:abstractNum w:abstractNumId="33">
    <w:nsid w:val="6B94764"/>
    <w:multiLevelType w:val="hybridMultilevel"/>
    <w:lvl w:ilvl="0">
      <w:lvlJc w:val="left"/>
      <w:lvlText w:val="(%1)"/>
      <w:numFmt w:val="lowerLetter"/>
      <w:start w:val="1"/>
    </w:lvl>
    <w:lvl w:ilvl="1">
      <w:lvlJc w:val="left"/>
      <w:lvlText w:val="(%2)"/>
      <w:numFmt w:val="lowerRoman"/>
      <w:start w:val="1"/>
    </w:lvl>
  </w:abstractNum>
  <w:abstractNum w:abstractNumId="34">
    <w:nsid w:val="42C296BD"/>
    <w:multiLevelType w:val="hybridMultilevel"/>
    <w:lvl w:ilvl="0">
      <w:lvlJc w:val="left"/>
      <w:lvlText w:val="(%1)"/>
      <w:numFmt w:val="lowerLetter"/>
      <w:start w:val="4"/>
    </w:lvl>
    <w:lvl w:ilvl="1">
      <w:lvlJc w:val="left"/>
      <w:lvlText w:val="(%2)"/>
      <w:numFmt w:val="lowerRoman"/>
      <w:start w:val="1"/>
    </w:lvl>
  </w:abstractNum>
  <w:abstractNum w:abstractNumId="35">
    <w:nsid w:val="168E121F"/>
    <w:multiLevelType w:val="hybridMultilevel"/>
    <w:lvl w:ilvl="0">
      <w:lvlJc w:val="left"/>
      <w:lvlText w:val="(%1)"/>
      <w:numFmt w:val="lowerLetter"/>
      <w:start w:val="10"/>
    </w:lvl>
  </w:abstractNum>
  <w:abstractNum w:abstractNumId="36">
    <w:nsid w:val="1EBA5D23"/>
    <w:multiLevelType w:val="hybridMultilevel"/>
    <w:lvl w:ilvl="0">
      <w:lvlJc w:val="left"/>
      <w:lvlText w:val="(%1)"/>
      <w:numFmt w:val="lowerLetter"/>
      <w:start w:val="1"/>
    </w:lvl>
  </w:abstractNum>
  <w:abstractNum w:abstractNumId="37">
    <w:nsid w:val="661E3F1E"/>
    <w:multiLevelType w:val="hybridMultilevel"/>
    <w:lvl w:ilvl="0">
      <w:lvlJc w:val="left"/>
      <w:lvlText w:val="%1"/>
      <w:numFmt w:val="lowerLetter"/>
      <w:start w:val="1"/>
    </w:lvl>
    <w:lvl w:ilvl="1">
      <w:lvlJc w:val="left"/>
      <w:lvlText w:val="(%2)"/>
      <w:numFmt w:val="lowerLetter"/>
      <w:start w:val="2"/>
    </w:lvl>
  </w:abstractNum>
  <w:abstractNum w:abstractNumId="38">
    <w:nsid w:val="5DC79EA8"/>
    <w:multiLevelType w:val="hybridMultilevel"/>
    <w:lvl w:ilvl="0">
      <w:lvlJc w:val="left"/>
      <w:lvlText w:val="(%1)"/>
      <w:numFmt w:val="lowerLetter"/>
      <w:start w:val="9"/>
    </w:lvl>
    <w:lvl w:ilvl="1">
      <w:lvlJc w:val="left"/>
      <w:lvlText w:val="%2"/>
      <w:numFmt w:val="lowerLetter"/>
      <w:start w:val="1"/>
    </w:lvl>
  </w:abstractNum>
  <w:abstractNum w:abstractNumId="39">
    <w:nsid w:val="540A471C"/>
    <w:multiLevelType w:val="hybridMultilevel"/>
    <w:lvl w:ilvl="0">
      <w:lvlJc w:val="left"/>
      <w:lvlText w:val="(%1)"/>
      <w:numFmt w:val="lowerLetter"/>
      <w:start w:val="3"/>
    </w:lvl>
  </w:abstractNum>
  <w:abstractNum w:abstractNumId="40">
    <w:nsid w:val="7BD3EE7B"/>
    <w:multiLevelType w:val="hybridMultilevel"/>
    <w:lvl w:ilvl="0">
      <w:lvlJc w:val="left"/>
      <w:lvlText w:val="(%1)"/>
      <w:numFmt w:val="lowerLetter"/>
      <w:start w:val="1"/>
    </w:lvl>
  </w:abstractNum>
  <w:abstractNum w:abstractNumId="41">
    <w:nsid w:val="51D9C564"/>
    <w:multiLevelType w:val="hybridMultilevel"/>
    <w:lvl w:ilvl="0">
      <w:lvlJc w:val="left"/>
      <w:lvlText w:val="%1."/>
      <w:numFmt w:val="decimal"/>
      <w:start w:val="1"/>
    </w:lvl>
  </w:abstractNum>
  <w:abstractNum w:abstractNumId="42">
    <w:nsid w:val="613EFDC5"/>
    <w:multiLevelType w:val="hybridMultilevel"/>
    <w:lvl w:ilvl="0">
      <w:lvlJc w:val="left"/>
      <w:lvlText w:val="%1."/>
      <w:numFmt w:val="decimal"/>
      <w:start w:val="1"/>
    </w:lvl>
  </w:abstractNum>
  <w:abstractNum w:abstractNumId="43">
    <w:nsid w:val="BF72B14"/>
    <w:multiLevelType w:val="hybridMultilevel"/>
    <w:lvl w:ilvl="0">
      <w:lvlJc w:val="left"/>
      <w:lvlText w:val="(%1)"/>
      <w:numFmt w:val="lowerLetter"/>
      <w:start w:val="1"/>
    </w:lvl>
    <w:lvl w:ilvl="1">
      <w:lvlJc w:val="left"/>
      <w:lvlText w:val="(%2)"/>
      <w:numFmt w:val="lowerRoman"/>
      <w:start w:val="1"/>
    </w:lvl>
  </w:abstractNum>
  <w:abstractNum w:abstractNumId="44">
    <w:nsid w:val="11447B73"/>
    <w:multiLevelType w:val="hybridMultilevel"/>
    <w:lvl w:ilvl="0">
      <w:lvlJc w:val="left"/>
      <w:lvlText w:val="(%1)"/>
      <w:numFmt w:val="lowerLetter"/>
      <w:start w:val="2"/>
    </w:lvl>
    <w:lvl w:ilvl="1">
      <w:lvlJc w:val="left"/>
      <w:lvlText w:val="(%2)"/>
      <w:numFmt w:val="lowerRoman"/>
      <w:start w:val="1"/>
    </w:lvl>
  </w:abstractNum>
  <w:abstractNum w:abstractNumId="45">
    <w:nsid w:val="42963E5A"/>
    <w:multiLevelType w:val="hybridMultilevel"/>
    <w:lvl w:ilvl="0">
      <w:lvlJc w:val="left"/>
      <w:lvlText w:val="%1"/>
      <w:numFmt w:val="lowerLetter"/>
      <w:start w:val="1"/>
    </w:lvl>
    <w:lvl w:ilvl="1">
      <w:lvlJc w:val="left"/>
      <w:lvlText w:val="(%2)"/>
      <w:numFmt w:val="lowerLetter"/>
      <w:start w:val="61"/>
    </w:lvl>
  </w:abstractNum>
  <w:abstractNum w:abstractNumId="46">
    <w:nsid w:val="A0382C5"/>
    <w:multiLevelType w:val="hybridMultilevel"/>
    <w:lvl w:ilvl="0">
      <w:lvlJc w:val="left"/>
      <w:lvlText w:val="(%1)"/>
      <w:numFmt w:val="lowerLetter"/>
      <w:start w:val="3"/>
    </w:lvl>
    <w:lvl w:ilvl="1">
      <w:lvlJc w:val="left"/>
      <w:lvlText w:val="%2"/>
      <w:numFmt w:val="lowerLetter"/>
      <w:start w:val="1"/>
    </w:lvl>
  </w:abstractNum>
  <w:abstractNum w:abstractNumId="47">
    <w:nsid w:val="8F2B15E"/>
    <w:multiLevelType w:val="hybridMultilevel"/>
    <w:lvl w:ilvl="0">
      <w:lvlJc w:val="left"/>
      <w:lvlText w:val="(%1)"/>
      <w:numFmt w:val="lowerLetter"/>
      <w:start w:val="1"/>
    </w:lvl>
  </w:abstractNum>
  <w:abstractNum w:abstractNumId="48">
    <w:nsid w:val="1A32234B"/>
    <w:multiLevelType w:val="hybridMultilevel"/>
    <w:lvl w:ilvl="0">
      <w:lvlJc w:val="left"/>
      <w:lvlText w:val="(%1)"/>
      <w:numFmt w:val="lowerLetter"/>
      <w:start w:val="1"/>
    </w:lvl>
  </w:abstractNum>
  <w:abstractNum w:abstractNumId="49">
    <w:nsid w:val="3B0FD379"/>
    <w:multiLevelType w:val="hybridMultilevel"/>
    <w:lvl w:ilvl="0">
      <w:lvlJc w:val="left"/>
      <w:lvlText w:val="(%1)"/>
      <w:numFmt w:val="lowerLetter"/>
      <w:start w:val="3"/>
    </w:lvl>
  </w:abstractNum>
  <w:abstractNum w:abstractNumId="50">
    <w:nsid w:val="68EB2F63"/>
    <w:multiLevelType w:val="hybridMultilevel"/>
    <w:lvl w:ilvl="0">
      <w:lvlJc w:val="left"/>
      <w:lvlText w:val="(%1)"/>
      <w:numFmt w:val="lowerLetter"/>
      <w:start w:val="1"/>
    </w:lvl>
  </w:abstractNum>
  <w:abstractNum w:abstractNumId="51">
    <w:nsid w:val="4962813B"/>
    <w:multiLevelType w:val="hybridMultilevel"/>
    <w:lvl w:ilvl="0">
      <w:lvlJc w:val="left"/>
      <w:lvlText w:val="(%1)"/>
      <w:numFmt w:val="lowerLetter"/>
      <w:start w:val="1"/>
    </w:lvl>
  </w:abstractNum>
  <w:abstractNum w:abstractNumId="52">
    <w:nsid w:val="60B6DF70"/>
    <w:multiLevelType w:val="hybridMultilevel"/>
    <w:lvl w:ilvl="0">
      <w:lvlJc w:val="left"/>
      <w:lvlText w:val="(%1)"/>
      <w:numFmt w:val="lowerLetter"/>
      <w:start w:val="4"/>
    </w:lvl>
  </w:abstractNum>
  <w:abstractNum w:abstractNumId="53">
    <w:nsid w:val="6A5EE64"/>
    <w:multiLevelType w:val="hybridMultilevel"/>
    <w:lvl w:ilvl="0">
      <w:lvlJc w:val="left"/>
      <w:lvlText w:val="(%1)"/>
      <w:numFmt w:val="lowerLetter"/>
      <w:start w:val="1"/>
    </w:lvl>
  </w:abstractNum>
  <w:abstractNum w:abstractNumId="54">
    <w:nsid w:val="14330624"/>
    <w:multiLevelType w:val="hybridMultilevel"/>
    <w:lvl w:ilvl="0">
      <w:lvlJc w:val="left"/>
      <w:lvlText w:val="(%1)"/>
      <w:numFmt w:val="lowerRoman"/>
      <w:start w:val="1"/>
    </w:lvl>
  </w:abstractNum>
  <w:abstractNum w:abstractNumId="55">
    <w:nsid w:val="7FFFCA11"/>
    <w:multiLevelType w:val="hybridMultilevel"/>
    <w:lvl w:ilvl="0">
      <w:lvlJc w:val="left"/>
      <w:lvlText w:val="%1."/>
      <w:numFmt w:val="decimal"/>
      <w:start w:val="1"/>
    </w:lvl>
  </w:abstractNum>
  <w:abstractNum w:abstractNumId="56">
    <w:nsid w:val="1A27709E"/>
    <w:multiLevelType w:val="hybridMultilevel"/>
    <w:lvl w:ilvl="0">
      <w:lvlJc w:val="left"/>
      <w:lvlText w:val="(%1)"/>
      <w:numFmt w:val="lowerLetter"/>
      <w:start w:val="1"/>
    </w:lvl>
  </w:abstractNum>
  <w:abstractNum w:abstractNumId="57">
    <w:nsid w:val="71EA1109"/>
    <w:multiLevelType w:val="hybridMultilevel"/>
    <w:lvl w:ilvl="0">
      <w:lvlJc w:val="left"/>
      <w:lvlText w:val="(%1)"/>
      <w:numFmt w:val="lowerLetter"/>
      <w:start w:val="6"/>
    </w:lvl>
  </w:abstractNum>
  <w:abstractNum w:abstractNumId="58">
    <w:nsid w:val="100F59DC"/>
    <w:multiLevelType w:val="hybridMultilevel"/>
    <w:lvl w:ilvl="0">
      <w:lvlJc w:val="left"/>
      <w:lvlText w:val="(%1)"/>
      <w:numFmt w:val="lowerLetter"/>
      <w:start w:val="7"/>
    </w:lvl>
  </w:abstractNum>
  <w:abstractNum w:abstractNumId="59">
    <w:nsid w:val="7FB7E0AA"/>
    <w:multiLevelType w:val="hybridMultilevel"/>
    <w:lvl w:ilvl="0">
      <w:lvlJc w:val="left"/>
      <w:lvlText w:val="%1."/>
      <w:numFmt w:val="decimal"/>
      <w:start w:val="3"/>
    </w:lvl>
  </w:abstractNum>
  <w:abstractNum w:abstractNumId="60">
    <w:nsid w:val="6EB5BD4"/>
    <w:multiLevelType w:val="hybridMultilevel"/>
    <w:lvl w:ilvl="0">
      <w:lvlJc w:val="left"/>
      <w:lvlText w:val="(%1)"/>
      <w:numFmt w:val="lowerRoman"/>
      <w:start w:val="10"/>
    </w:lvl>
  </w:abstractNum>
  <w:abstractNum w:abstractNumId="61">
    <w:nsid w:val="6F6DD9AC"/>
    <w:multiLevelType w:val="hybridMultilevel"/>
    <w:lvl w:ilvl="0">
      <w:lvlJc w:val="left"/>
      <w:lvlText w:val="%1"/>
      <w:numFmt w:val="decimal"/>
      <w:start w:val="1"/>
    </w:lvl>
    <w:lvl w:ilvl="1">
      <w:lvlJc w:val="left"/>
      <w:lvlText w:val="(%2)"/>
      <w:numFmt w:val="lowerLetter"/>
      <w:start w:val="1"/>
    </w:lvl>
  </w:abstractNum>
  <w:abstractNum w:abstractNumId="62">
    <w:nsid w:val="94211F2"/>
    <w:multiLevelType w:val="hybridMultilevel"/>
    <w:lvl w:ilvl="0">
      <w:lvlJc w:val="left"/>
      <w:lvlText w:val="(%1)"/>
      <w:numFmt w:val="decimal"/>
      <w:start w:val="10"/>
    </w:lvl>
    <w:lvl w:ilvl="1">
      <w:lvlJc w:val="left"/>
      <w:lvlText w:val="(%2)"/>
      <w:numFmt w:val="lowerLetter"/>
      <w:start w:val="4"/>
    </w:lvl>
  </w:abstractNum>
  <w:abstractNum w:abstractNumId="63">
    <w:nsid w:val="885E1B"/>
    <w:multiLevelType w:val="hybridMultilevel"/>
    <w:lvl w:ilvl="0">
      <w:lvlJc w:val="left"/>
      <w:lvlText w:val="%1."/>
      <w:numFmt w:val="decimal"/>
      <w:start w:val="4"/>
    </w:lvl>
  </w:abstractNum>
  <w:abstractNum w:abstractNumId="64">
    <w:nsid w:val="76272110"/>
    <w:multiLevelType w:val="hybridMultilevel"/>
    <w:lvl w:ilvl="0">
      <w:lvlJc w:val="left"/>
      <w:lvlText w:val="%1."/>
      <w:numFmt w:val="decimal"/>
      <w:start w:val="5"/>
    </w:lvl>
  </w:abstractNum>
  <w:abstractNum w:abstractNumId="65">
    <w:nsid w:val="4C04A8AF"/>
    <w:multiLevelType w:val="hybridMultilevel"/>
    <w:lvl w:ilvl="0">
      <w:lvlJc w:val="left"/>
      <w:lvlText w:val="%1."/>
      <w:numFmt w:val="decimal"/>
      <w:start w:val="6"/>
    </w:lvl>
  </w:abstractNum>
  <w:abstractNum w:abstractNumId="66">
    <w:nsid w:val="1716703B"/>
    <w:multiLevelType w:val="hybridMultilevel"/>
    <w:lvl w:ilvl="0">
      <w:lvlJc w:val="left"/>
      <w:lvlText w:val="(%1)"/>
      <w:numFmt w:val="lowerLetter"/>
      <w:start w:val="1"/>
    </w:lvl>
  </w:abstractNum>
  <w:abstractNum w:abstractNumId="67">
    <w:nsid w:val="14E17E33"/>
    <w:multiLevelType w:val="hybridMultilevel"/>
    <w:lvl w:ilvl="0">
      <w:lvlJc w:val="left"/>
      <w:lvlText w:val="(%1)"/>
      <w:numFmt w:val="lowerLetter"/>
      <w:start w:val="2"/>
    </w:lvl>
  </w:abstractNum>
  <w:abstractNum w:abstractNumId="68">
    <w:nsid w:val="3222E7CD"/>
    <w:multiLevelType w:val="hybridMultilevel"/>
    <w:lvl w:ilvl="0">
      <w:lvlJc w:val="left"/>
      <w:lvlText w:val="%1."/>
      <w:numFmt w:val="decimal"/>
      <w:start w:val="7"/>
    </w:lvl>
  </w:abstractNum>
  <w:abstractNum w:abstractNumId="69">
    <w:nsid w:val="74DE0EE3"/>
    <w:multiLevelType w:val="hybridMultilevel"/>
    <w:lvl w:ilvl="0">
      <w:lvlJc w:val="left"/>
      <w:lvlText w:val="(%1)"/>
      <w:numFmt w:val="lowerRoman"/>
      <w:start w:val="10"/>
    </w:lvl>
  </w:abstractNum>
  <w:abstractNum w:abstractNumId="70">
    <w:nsid w:val="68EBC550"/>
    <w:multiLevelType w:val="hybridMultilevel"/>
    <w:lvl w:ilvl="0">
      <w:lvlJc w:val="left"/>
      <w:lvlText w:val="%1."/>
      <w:numFmt w:val="decimal"/>
      <w:start w:val="8"/>
    </w:lvl>
  </w:abstractNum>
  <w:abstractNum w:abstractNumId="71">
    <w:nsid w:val="2DF6D648"/>
    <w:multiLevelType w:val="hybridMultilevel"/>
    <w:lvl w:ilvl="0">
      <w:lvlJc w:val="left"/>
      <w:lvlText w:val="%1."/>
      <w:numFmt w:val="decimal"/>
      <w:start w:val="9"/>
    </w:lvl>
  </w:abstractNum>
  <w:abstractNum w:abstractNumId="72">
    <w:nsid w:val="46B7D447"/>
    <w:multiLevelType w:val="hybridMultilevel"/>
    <w:lvl w:ilvl="0">
      <w:lvlJc w:val="left"/>
      <w:lvlText w:val="(%1)"/>
      <w:numFmt w:val="decimal"/>
      <w:start w:val="5"/>
    </w:lvl>
  </w:abstractNum>
  <w:abstractNum w:abstractNumId="73">
    <w:nsid w:val="4A2AC315"/>
    <w:multiLevelType w:val="hybridMultilevel"/>
    <w:lvl w:ilvl="0">
      <w:lvlJc w:val="left"/>
      <w:lvlText w:val="(%1)"/>
      <w:numFmt w:val="lowerRoman"/>
      <w:start w:val="1"/>
    </w:lvl>
  </w:abstractNum>
  <w:abstractNum w:abstractNumId="74">
    <w:nsid w:val="39EE015C"/>
    <w:multiLevelType w:val="hybridMultilevel"/>
    <w:lvl w:ilvl="0">
      <w:lvlJc w:val="left"/>
      <w:lvlText w:val="%1."/>
      <w:numFmt w:val="decimal"/>
      <w:start w:val="1"/>
    </w:lvl>
  </w:abstractNum>
  <w:abstractNum w:abstractNumId="75">
    <w:nsid w:val="57FC4FBB"/>
    <w:multiLevelType w:val="hybridMultilevel"/>
    <w:lvl w:ilvl="0">
      <w:lvlJc w:val="left"/>
      <w:lvlText w:val="%1"/>
      <w:numFmt w:val="lowerRoman"/>
      <w:start w:val="1"/>
    </w:lvl>
    <w:lvl w:ilvl="1">
      <w:lvlJc w:val="left"/>
      <w:lvlText w:val="%2."/>
      <w:numFmt w:val="decimal"/>
      <w:start w:val="3"/>
    </w:lvl>
  </w:abstractNum>
  <w:abstractNum w:abstractNumId="76">
    <w:nsid w:val="CC1016F"/>
    <w:multiLevelType w:val="hybridMultilevel"/>
    <w:lvl w:ilvl="0">
      <w:lvlJc w:val="left"/>
      <w:lvlText w:val="(%1)"/>
      <w:numFmt w:val="lowerRoman"/>
      <w:start w:val="2"/>
    </w:lvl>
    <w:lvl w:ilvl="1">
      <w:lvlJc w:val="left"/>
      <w:lvlText w:val="%2."/>
      <w:numFmt w:val="decimal"/>
      <w:start w:val="4"/>
    </w:lvl>
  </w:abstractNum>
  <w:abstractNum w:abstractNumId="77">
    <w:nsid w:val="43F18422"/>
    <w:multiLevelType w:val="hybridMultilevel"/>
    <w:lvl w:ilvl="0">
      <w:lvlJc w:val="left"/>
      <w:lvlText w:val="%1."/>
      <w:numFmt w:val="decimal"/>
      <w:start w:val="5"/>
    </w:lvl>
  </w:abstractNum>
  <w:abstractNum w:abstractNumId="78">
    <w:nsid w:val="60EF011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79">
    <w:nsid w:val="26F324BA"/>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80">
    <w:nsid w:val="7F01579B"/>
    <w:multiLevelType w:val="hybridMultilevel"/>
    <w:lvl w:ilvl="0">
      <w:lvlJc w:val="left"/>
      <w:lvlText w:val="%1"/>
      <w:numFmt w:val="lowerRoman"/>
      <w:start w:val="1"/>
    </w:lvl>
    <w:lvl w:ilvl="1">
      <w:lvlJc w:val="left"/>
      <w:lvlText w:val="%2."/>
      <w:numFmt w:val="decimal"/>
      <w:start w:val="10"/>
    </w:lvl>
  </w:abstractNum>
  <w:abstractNum w:abstractNumId="81">
    <w:nsid w:val="49DA307D"/>
    <w:multiLevelType w:val="hybridMultilevel"/>
    <w:lvl w:ilvl="0">
      <w:lvlJc w:val="left"/>
      <w:lvlText w:val="(%1)"/>
      <w:numFmt w:val="lowerRoman"/>
      <w:start w:val="8"/>
    </w:lvl>
    <w:lvl w:ilvl="1">
      <w:lvlJc w:val="left"/>
      <w:lvlText w:val="%2."/>
      <w:numFmt w:val="decimal"/>
      <w:start w:val="12"/>
    </w:lvl>
  </w:abstractNum>
  <w:abstractNum w:abstractNumId="82">
    <w:nsid w:val="7055A5F5"/>
    <w:multiLevelType w:val="hybridMultilevel"/>
    <w:lvl w:ilvl="0">
      <w:lvlJc w:val="left"/>
      <w:lvlText w:val="%1."/>
      <w:numFmt w:val="decimal"/>
      <w:start w:val="14"/>
    </w:lvl>
  </w:abstractNum>
  <w:abstractNum w:abstractNumId="83">
    <w:nsid w:val="5FB8370B"/>
    <w:multiLevelType w:val="hybridMultilevel"/>
    <w:lvl w:ilvl="0">
      <w:lvlJc w:val="left"/>
      <w:lvlText w:val="%1."/>
      <w:numFmt w:val="decimal"/>
      <w:start w:val="1"/>
    </w:lvl>
    <w:lvl w:ilvl="1">
      <w:lvlJc w:val="left"/>
      <w:lvlText w:val="(%2)"/>
      <w:numFmt w:val="lowerLetter"/>
      <w:start w:val="1"/>
    </w:lvl>
  </w:abstractNum>
  <w:abstractNum w:abstractNumId="84">
    <w:nsid w:val="50801EE1"/>
    <w:multiLevelType w:val="hybridMultilevel"/>
    <w:lvl w:ilvl="0">
      <w:lvlJc w:val="left"/>
      <w:lvlText w:val="(%1)"/>
      <w:numFmt w:val="lowerLetter"/>
      <w:start w:val="4"/>
    </w:lvl>
  </w:abstractNum>
  <w:abstractNum w:abstractNumId="85">
    <w:nsid w:val="488AC1A"/>
    <w:multiLevelType w:val="hybridMultilevel"/>
    <w:lvl w:ilvl="0">
      <w:lvlJc w:val="left"/>
      <w:lvlText w:val="%1"/>
      <w:numFmt w:val="decimal"/>
      <w:start w:val="1"/>
    </w:lvl>
    <w:lvl w:ilvl="1">
      <w:lvlJc w:val="left"/>
      <w:lvlText w:val="(%2)"/>
      <w:numFmt w:val="lowerLetter"/>
      <w:start w:val="11"/>
    </w:lvl>
  </w:abstractNum>
  <w:abstractNum w:abstractNumId="86">
    <w:nsid w:val="5FB8011C"/>
    <w:multiLevelType w:val="hybridMultilevel"/>
    <w:lvl w:ilvl="0">
      <w:lvlJc w:val="left"/>
      <w:lvlText w:val="%1."/>
      <w:numFmt w:val="decimal"/>
      <w:start w:val="2"/>
    </w:lvl>
    <w:lvl w:ilvl="1">
      <w:lvlJc w:val="left"/>
      <w:lvlText w:val="(%2)"/>
      <w:numFmt w:val="lowerLetter"/>
      <w:start w:val="1"/>
    </w:lvl>
  </w:abstractNum>
  <w:abstractNum w:abstractNumId="87">
    <w:nsid w:val="6AA78F7F"/>
    <w:multiLevelType w:val="hybridMultilevel"/>
    <w:lvl w:ilvl="0">
      <w:lvlJc w:val="left"/>
      <w:lvlText w:val="%1"/>
      <w:numFmt w:val="decimal"/>
      <w:start w:val="1"/>
    </w:lvl>
    <w:lvl w:ilvl="1">
      <w:lvlJc w:val="left"/>
      <w:lvlText w:val="(%2)"/>
      <w:numFmt w:val="lowerLetter"/>
      <w:start w:val="5"/>
    </w:lvl>
  </w:abstractNum>
  <w:abstractNum w:abstractNumId="88">
    <w:nsid w:val="7672BD23"/>
    <w:multiLevelType w:val="hybridMultilevel"/>
    <w:lvl w:ilvl="0">
      <w:lvlJc w:val="left"/>
      <w:lvlText w:val="%1."/>
      <w:numFmt w:val="decimal"/>
      <w:start w:val="3"/>
    </w:lvl>
    <w:lvl w:ilvl="1">
      <w:lvlJc w:val="left"/>
      <w:lvlText w:val="(%2)"/>
      <w:numFmt w:val="lowerLetter"/>
      <w:start w:val="1"/>
    </w:lvl>
  </w:abstractNum>
  <w:abstractNum w:abstractNumId="89">
    <w:nsid w:val="6FC75AF8"/>
    <w:multiLevelType w:val="hybridMultilevel"/>
    <w:lvl w:ilvl="0">
      <w:lvlJc w:val="left"/>
      <w:lvlText w:val="%1"/>
      <w:numFmt w:val="decimal"/>
      <w:start w:val="1"/>
    </w:lvl>
    <w:lvl w:ilvl="1">
      <w:lvlJc w:val="left"/>
      <w:lvlText w:val="(%2)"/>
      <w:numFmt w:val="lowerLetter"/>
      <w:start w:val="7"/>
    </w:lvl>
  </w:abstractNum>
  <w:abstractNum w:abstractNumId="90">
    <w:nsid w:val="6A5F7029"/>
    <w:multiLevelType w:val="hybridMultilevel"/>
    <w:lvl w:ilvl="0">
      <w:lvlJc w:val="left"/>
      <w:lvlText w:val="%1."/>
      <w:numFmt w:val="decimal"/>
      <w:start w:val="4"/>
    </w:lvl>
    <w:lvl w:ilvl="1">
      <w:lvlJc w:val="left"/>
      <w:lvlText w:val="(%2)"/>
      <w:numFmt w:val="lowerLetter"/>
      <w:start w:val="1"/>
    </w:lvl>
  </w:abstractNum>
  <w:abstractNum w:abstractNumId="91">
    <w:nsid w:val="7D5E18F8"/>
    <w:multiLevelType w:val="hybridMultilevel"/>
    <w:lvl w:ilvl="0">
      <w:lvlJc w:val="left"/>
      <w:lvlText w:val="(%1)"/>
      <w:numFmt w:val="lowerLetter"/>
      <w:start w:val="2"/>
    </w:lvl>
  </w:abstractNum>
  <w:abstractNum w:abstractNumId="92">
    <w:nsid w:val="5F3534A4"/>
    <w:multiLevelType w:val="hybridMultilevel"/>
    <w:lvl w:ilvl="0">
      <w:lvlJc w:val="left"/>
      <w:lvlText w:val="(%1)"/>
      <w:numFmt w:val="lowerLetter"/>
      <w:start w:val="7"/>
    </w:lvl>
  </w:abstractNum>
  <w:abstractNum w:abstractNumId="93">
    <w:nsid w:val="73A1821B"/>
    <w:multiLevelType w:val="hybridMultilevel"/>
    <w:lvl w:ilvl="0">
      <w:lvlJc w:val="left"/>
      <w:lvlText w:val="(%1)"/>
      <w:numFmt w:val="lowerRoman"/>
      <w:start w:val="2"/>
    </w:lvl>
  </w:abstractNum>
  <w:abstractNum w:abstractNumId="94">
    <w:nsid w:val="7DE67713"/>
    <w:multiLevelType w:val="hybridMultilevel"/>
    <w:lvl w:ilvl="0">
      <w:lvlJc w:val="left"/>
      <w:lvlText w:val="1"/>
      <w:numFmt w:val="bullet"/>
      <w:start w:val="1"/>
    </w:lvl>
  </w:abstractNum>
  <w:abstractNum w:abstractNumId="95">
    <w:nsid w:val="555C55B5"/>
    <w:multiLevelType w:val="hybridMultilevel"/>
    <w:lvl w:ilvl="0">
      <w:lvlJc w:val="left"/>
      <w:lvlText w:val="(%1)"/>
      <w:numFmt w:val="lowerLetter"/>
      <w:start w:val="1"/>
    </w:lvl>
  </w:abstractNum>
  <w:abstractNum w:abstractNumId="96">
    <w:nsid w:val="3FA62ACA"/>
    <w:multiLevelType w:val="hybridMultilevel"/>
    <w:lvl w:ilvl="0">
      <w:lvlJc w:val="left"/>
      <w:lvlText w:val="(%1)"/>
      <w:numFmt w:val="lowerLetter"/>
      <w:start w:val="61"/>
    </w:lvl>
    <w:lvl w:ilvl="1">
      <w:lvlJc w:val="left"/>
      <w:lvlText w:val="(%2)"/>
      <w:numFmt w:val="upperLetter"/>
    </w:lvl>
    <w:lvl w:ilvl="2">
      <w:lvlJc w:val="left"/>
      <w:lvlText w:val="(%3)"/>
      <w:numFmt w:val="lowerLetter"/>
      <w:start w:val="1"/>
    </w:lvl>
  </w:abstractNum>
  <w:abstractNum w:abstractNumId="97">
    <w:nsid w:val="14FCE74E"/>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
    </w:lvl>
  </w:abstractNum>
  <w:abstractNum w:abstractNumId="98">
    <w:nsid w:val="6A3DD3E8"/>
    <w:multiLevelType w:val="hybridMultilevel"/>
    <w:lvl w:ilvl="0">
      <w:lvlJc w:val="left"/>
      <w:lvlText w:val="%1."/>
      <w:numFmt w:val="upperLetter"/>
      <w:start w:val="1"/>
    </w:lvl>
  </w:abstractNum>
  <w:abstractNum w:abstractNumId="99">
    <w:nsid w:val="71C91298"/>
    <w:multiLevelType w:val="hybridMultilevel"/>
    <w:lvl w:ilvl="0">
      <w:lvlJc w:val="left"/>
      <w:lvlText w:val="%1."/>
      <w:numFmt w:val="upperLetter"/>
      <w:start w:val="3"/>
    </w:lvl>
    <w:lvl w:ilvl="1">
      <w:lvlJc w:val="left"/>
      <w:lvlText w:val="(%2)"/>
      <w:numFmt w:val="lowerRoman"/>
      <w:start w:val="1"/>
    </w:lvl>
  </w:abstractNum>
  <w:abstractNum w:abstractNumId="100">
    <w:nsid w:val="9DAF632"/>
    <w:multiLevelType w:val="hybridMultilevel"/>
    <w:lvl w:ilvl="0">
      <w:lvlJc w:val="left"/>
      <w:lvlText w:val="%1."/>
      <w:numFmt w:val="upperLetter"/>
      <w:start w:val="1"/>
    </w:lvl>
    <w:lvl w:ilvl="1">
      <w:lvlJc w:val="left"/>
      <w:lvlText w:val="(%2)"/>
      <w:numFmt w:val="lowerRoman"/>
      <w:start w:val="1"/>
    </w:lvl>
  </w:abstractNum>
  <w:abstractNum w:abstractNumId="101">
    <w:nsid w:val="53299938"/>
    <w:multiLevelType w:val="hybridMultilevel"/>
    <w:lvl w:ilvl="0">
      <w:lvlJc w:val="left"/>
      <w:lvlText w:val="%1."/>
      <w:numFmt w:val="upperLetter"/>
      <w:start w:val="3"/>
    </w:lvl>
  </w:abstractNum>
  <w:abstractNum w:abstractNumId="102">
    <w:nsid w:val="1FBFE8E0"/>
    <w:multiLevelType w:val="hybridMultilevel"/>
    <w:lvl w:ilvl="0">
      <w:lvlJc w:val="left"/>
      <w:lvlText w:val="%1."/>
      <w:numFmt w:val="upperLetter"/>
      <w:start w:val="1"/>
    </w:lvl>
    <w:lvl w:ilvl="1">
      <w:lvlJc w:val="left"/>
      <w:lvlText w:val="(%2)"/>
      <w:numFmt w:val="lowerRoman"/>
      <w:start w:val="1"/>
    </w:lvl>
  </w:abstractNum>
  <w:abstractNum w:abstractNumId="103">
    <w:nsid w:val="5092CA79"/>
    <w:multiLevelType w:val="hybridMultilevel"/>
    <w:lvl w:ilvl="0">
      <w:lvlJc w:val="left"/>
      <w:lvlText w:val="(%1)"/>
      <w:numFmt w:val="lowerRoman"/>
      <w:start w:val="4"/>
    </w:lvl>
  </w:abstractNum>
  <w:abstractNum w:abstractNumId="104">
    <w:nsid w:val="1D545C4D"/>
    <w:multiLevelType w:val="hybridMultilevel"/>
    <w:lvl w:ilvl="0">
      <w:lvlJc w:val="left"/>
      <w:lvlText w:val="%1."/>
      <w:numFmt w:val="upperLetter"/>
      <w:start w:val="1"/>
    </w:lvl>
  </w:abstractNum>
  <w:abstractNum w:abstractNumId="105">
    <w:nsid w:val="59ADEA3D"/>
    <w:multiLevelType w:val="hybridMultilevel"/>
    <w:lvl w:ilvl="0">
      <w:lvlJc w:val="left"/>
      <w:lvlText w:val="%1."/>
      <w:numFmt w:val="upperLetter"/>
      <w:start w:val="2"/>
    </w:lvl>
  </w:abstractNum>
  <w:abstractNum w:abstractNumId="106">
    <w:nsid w:val="288F1A34"/>
    <w:multiLevelType w:val="hybridMultilevel"/>
    <w:lvl w:ilvl="0">
      <w:lvlJc w:val="left"/>
      <w:lvlText w:val="%1."/>
      <w:numFmt w:val="upperLetter"/>
      <w:start w:val="1"/>
    </w:lvl>
  </w:abstractNum>
  <w:abstractNum w:abstractNumId="107">
    <w:nsid w:val="2A155DBC"/>
    <w:multiLevelType w:val="hybridMultilevel"/>
    <w:lvl w:ilvl="0">
      <w:lvlJc w:val="left"/>
      <w:lvlText w:val="%1."/>
      <w:numFmt w:val="upperLetter"/>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2021-08-06T15:43:55Z</dcterms:created>
  <dcterms:modified xsi:type="dcterms:W3CDTF">2021-08-06T15:43:55Z</dcterms:modified>
</cp:coreProperties>
</file>