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9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11, 2026</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LanzaTech Global,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001-40282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92-2018969</w:t>
            </w:r>
          </w:p>
        </w:tc>
        <w:tc>
          <w:tcPr>
            <w:tcW w:w="20" w:type="dxa"/>
            <w:vAlign w:val="bottom"/>
          </w:tcPr>
          <w:p>
            <w:pPr>
              <w:spacing w:after="0"/>
              <w:rPr>
                <w:sz w:val="21"/>
                <w:szCs w:val="21"/>
                <w:color w:val="auto"/>
              </w:rPr>
            </w:pPr>
          </w:p>
        </w:tc>
      </w:tr>
      <w:tr>
        <w:trPr>
          <w:trHeight w:val="176"/>
        </w:trPr>
        <w:tc>
          <w:tcPr>
            <w:tcW w:w="36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3"/>
          </w:tcPr>
          <w:p>
            <w:pPr>
              <w:jc w:val="center"/>
              <w:ind w:right="640"/>
              <w:spacing w:after="0" w:line="176"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5"/>
                <w:szCs w:val="15"/>
                <w:color w:val="auto"/>
              </w:rPr>
            </w:pPr>
          </w:p>
        </w:tc>
      </w:tr>
      <w:tr>
        <w:trPr>
          <w:trHeight w:val="234"/>
        </w:trPr>
        <w:tc>
          <w:tcPr>
            <w:tcW w:w="44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301"/>
        </w:trPr>
        <w:tc>
          <w:tcPr>
            <w:tcW w:w="44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w w:val="99"/>
              </w:rPr>
              <w:t>8045 Lamon Avenue, Suite 400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4400" w:type="dxa"/>
            <w:vAlign w:val="bottom"/>
            <w:tcBorders>
              <w:bottom w:val="single" w:sz="8" w:color="auto"/>
            </w:tcBorders>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Skokie, Illinois</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60077</w:t>
            </w:r>
          </w:p>
        </w:tc>
        <w:tc>
          <w:tcPr>
            <w:tcW w:w="20" w:type="dxa"/>
            <w:vAlign w:val="bottom"/>
            <w:tcBorders>
              <w:bottom w:val="single" w:sz="8" w:color="auto"/>
            </w:tcBorders>
          </w:tcPr>
          <w:p>
            <w:pPr>
              <w:spacing w:after="0"/>
              <w:rPr>
                <w:sz w:val="20"/>
                <w:szCs w:val="20"/>
                <w:color w:val="auto"/>
              </w:rPr>
            </w:pPr>
          </w:p>
        </w:tc>
      </w:tr>
      <w:tr>
        <w:trPr>
          <w:trHeight w:val="234"/>
        </w:trPr>
        <w:tc>
          <w:tcPr>
            <w:tcW w:w="44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r>
        <w:trPr>
          <w:trHeight w:val="287"/>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(847) 324-2400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414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34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4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63"/>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5"/>
        </w:trPr>
        <w:tc>
          <w:tcPr>
            <w:tcW w:w="36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Common Stock, par value $0.0000001 per</w:t>
            </w: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tcPr>
          <w:p>
            <w:pPr>
              <w:jc w:val="center"/>
              <w:ind w:right="7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LNZA</w:t>
            </w:r>
          </w:p>
        </w:tc>
        <w:tc>
          <w:tcPr>
            <w:tcW w:w="80" w:type="dxa"/>
            <w:vAlign w:val="bottom"/>
          </w:tcPr>
          <w:p>
            <w:pPr>
              <w:spacing w:after="0"/>
              <w:rPr>
                <w:sz w:val="15"/>
                <w:szCs w:val="15"/>
                <w:color w:val="auto"/>
              </w:rPr>
            </w:pPr>
          </w:p>
        </w:tc>
        <w:tc>
          <w:tcPr>
            <w:tcW w:w="37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4"/>
        </w:trPr>
        <w:tc>
          <w:tcPr>
            <w:tcW w:w="45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38"/>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29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6"/>
              </w:rPr>
              <w:t>LNZAW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17" w:lineRule="exact"/>
        <w:rPr>
          <w:sz w:val="24"/>
          <w:szCs w:val="24"/>
          <w:color w:val="auto"/>
        </w:rPr>
      </w:pPr>
    </w:p>
    <w:p>
      <w:pPr>
        <w:ind w:left="360" w:right="180" w:hanging="334"/>
        <w:spacing w:after="0" w:line="282"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3" w:lineRule="exact"/>
        <w:rPr>
          <w:rFonts w:ascii="MS PGothic" w:cs="MS PGothic" w:eastAsia="MS PGothic" w:hAnsi="MS PGothic"/>
          <w:sz w:val="18"/>
          <w:szCs w:val="18"/>
          <w:color w:val="auto"/>
        </w:rPr>
      </w:pPr>
    </w:p>
    <w:p>
      <w:pPr>
        <w:ind w:left="360" w:right="160" w:hanging="334"/>
        <w:spacing w:after="0" w:line="282"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 Purchase and Exchange Agreement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11, 2026, LanzaTech, Inc., a wholly owned subsidiary of LanzaTech Global, Inc. (“LanzaTech Global” and, together with LanzaTech, Inc., the “Company”), entered into a Series A Preferred Stock Purchase and Exchange Agreement (the “LanzaJet Series A Stock Purchase Agreement”) with LanzaJet, Inc. (“LanzaJet”) and the investors party thereto (the “Series A Investors”). Pursuant to the LanzaJet Series A Stock Purchase Agreement, LanzaJet agreed to (i) issue and sell shares of its Series A Preferred Stock (the “Series A Preferred Stock”), to the Series A Investors, (ii) subject to certain conditions (including participation requirements), permit certain holders of LanzaJet common stock (“LanzaJet Common Stock”), and certain warrants to purchase LanzaJet Common Stock, to exchange such shares and warrants for shares of newly created Class C common stock (“Class C Common Stock”), and warrants to purchase Class C Common Stock, respectively, on a 1:1 basis, and (iii) permit certain holders of convertible securities issued by LanzaJet to exchange or convert such securities into newly created preferred stock of LanzaJet (the transactions contemplated by the LanzaJet Series A Stock Purchase Agreement, the “Series A Transaction”). The Series A Transaction may be consummated in one or more closings, including an initial closing that occurred effective as of February 11, 2026 (the “Initial Closing”).</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Initial Closing, the Company purchased 455,522 shares of Series A Preferred Stock from LanzaJet at a purchase price of $4.390563 per share, for an aggregate purchase price of $2.0 million, and exchanged 60,316,250 shares of LanzaJet Common Stock for 60,316,250 shares of Class C Common Stock.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Series A Transaction, LanzaJet filed a Fifth Amended and Restated Certificate of Incorporation with the Secretary of State of the State of Delaware, which, among other things, authorized the issuance of the Series A Preferred Stock and Class C Common Stock and set forth the rights, preferences and privileges of such securities and related provisions contemplated by the Series A Transaction. The LanzaJet Series A Stock Purchase Agreement contains customary representations, warranties and covenants, as well as closing conditions and other customary provisions.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Series A Transaction, the following agreements material to the Company were also entered into: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Amended and Restated Stockholders’ Agreement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February 11, 2026, LanzaJet, the Company, and certain other stockholders of LanzaJet, including certain of the Series A Investors, entered into a Third Amended and Restated Stockholders’ Agreement (the “Third A&amp;R LanzaJet Stockholders’ Agreement”), which amended and restated that certain Second Amended and Restated Stockholders’ Agreement, dated as of October 16, 2025, to reflect the issuance of the Series A Preferred Stock and the admission of additional stockholders as parties thereto, and to modify certain governance, transfer and other provisions in connection with the Series A Transaction.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Among other things, the Third A&amp;R LanzaJet Stockholders’ Agreement provides for a board of directors of LanzaJet (the “LanzaJet Board”) consisting of seven directors, including one director designated by the Company so long as the Company (together with its applicable affiliates) continues to beneficially own at least 5% of LanzaJet’s fully diluted common shares (as provided under the Third A&amp;R LanzaJet Stockholders’ Agreement). The Third A&amp;R LanzaJet Stockholders’ Agreement also provides that the chairperson of the LanzaJet Board will be the Company’s designee and includes updated provisions relating to transfer restrictions, rights of first refusal, drag-along rights, information rights, indemnification rights and preemptive rights applicable to the stockholders of LanzaJet, including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the Company’s Investment in LanzaJet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the Company held approximately 53% of LanzaJet’s outstanding common stock as of December 2025 on a fully diluted basis. As a result of the Series A Transaction, the Company’s ownership interest in LanzaJet Common Stock has been reduced to approximately 46%, on a fully diluted basis, assuming the conversion of all outstanding shares of Class C Common Stock, Series A Preferred Stock, other series of LanzaJet preferred stock issued and outstanding, warrants to purchase capital stock of LanzaJet and convertible debt of LanzaJet and its subsidiaries. The Company accounts for its investment in LanzaJet under the equity method of accounting.</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LanzaJet Series A Stock Purchase Agreement and the Third A&amp;R LanzaJet Stockholders’ Agreement do not purport to be complete and are qualified in their entirety by reference to the full text of such agreements, copies of which will be filed as exhibits to the Company’s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1170"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632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LANZATECH GLOBAL, INC.</w:t>
            </w:r>
          </w:p>
        </w:tc>
      </w:tr>
      <w:tr>
        <w:trPr>
          <w:trHeight w:val="70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18, 2026</w:t>
            </w: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Maryann Maas</w:t>
            </w:r>
          </w:p>
        </w:tc>
      </w:tr>
      <w:tr>
        <w:trPr>
          <w:trHeight w:val="189"/>
        </w:trPr>
        <w:tc>
          <w:tcPr>
            <w:tcW w:w="3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r>
      <w:tr>
        <w:trPr>
          <w:trHeight w:val="237"/>
        </w:trPr>
        <w:tc>
          <w:tcPr>
            <w:tcW w:w="3680" w:type="dxa"/>
            <w:vAlign w:val="bottom"/>
          </w:tcPr>
          <w:p>
            <w:pPr>
              <w:spacing w:after="0"/>
              <w:rPr>
                <w:sz w:val="20"/>
                <w:szCs w:val="20"/>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Maryann Maas</w:t>
            </w:r>
          </w:p>
        </w:tc>
      </w:tr>
      <w:tr>
        <w:trPr>
          <w:trHeight w:val="432"/>
        </w:trPr>
        <w:tc>
          <w:tcPr>
            <w:tcW w:w="3680" w:type="dxa"/>
            <w:vAlign w:val="bottom"/>
          </w:tcPr>
          <w:p>
            <w:pPr>
              <w:spacing w:after="0"/>
              <w:rPr>
                <w:sz w:val="24"/>
                <w:szCs w:val="24"/>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740"/>
      </w:cols>
      <w:pgMar w:left="580" w:top="11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2026-02-18T15:54:28Z</dcterms:created>
  <dcterms:modified xsi:type="dcterms:W3CDTF">2026-02-18T15:54:28Z</dcterms:modified>
</cp:coreProperties>
</file>