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8-A</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12(b) OR 12(g)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AMCI Acquisition Corp. II</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40" w:type="dxa"/>
        <w:tblCellMar>
          <w:top w:w="0" w:type="dxa"/>
          <w:left w:w="0" w:type="dxa"/>
          <w:bottom w:w="0" w:type="dxa"/>
          <w:right w:w="0" w:type="dxa"/>
        </w:tblCellMar>
      </w:tblPr>
      <w:tr>
        <w:trPr>
          <w:trHeight w:val="220"/>
        </w:trPr>
        <w:tc>
          <w:tcPr>
            <w:tcW w:w="6340" w:type="dxa"/>
            <w:vAlign w:val="bottom"/>
          </w:tcPr>
          <w:p>
            <w:pPr>
              <w:jc w:val="center"/>
              <w:ind w:right="670"/>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right"/>
              <w:ind w:right="790"/>
              <w:spacing w:after="0"/>
              <w:rPr>
                <w:sz w:val="20"/>
                <w:szCs w:val="20"/>
                <w:color w:val="auto"/>
              </w:rPr>
            </w:pPr>
            <w:r>
              <w:rPr>
                <w:rFonts w:ascii="Arial" w:cs="Arial" w:eastAsia="Arial" w:hAnsi="Arial"/>
                <w:sz w:val="18"/>
                <w:szCs w:val="18"/>
                <w:b w:val="1"/>
                <w:bCs w:val="1"/>
                <w:color w:val="auto"/>
              </w:rPr>
              <w:t>86-1763050</w:t>
            </w:r>
          </w:p>
        </w:tc>
      </w:tr>
      <w:tr>
        <w:trPr>
          <w:trHeight w:val="212"/>
        </w:trPr>
        <w:tc>
          <w:tcPr>
            <w:tcW w:w="6340" w:type="dxa"/>
            <w:vAlign w:val="bottom"/>
          </w:tcPr>
          <w:p>
            <w:pPr>
              <w:jc w:val="center"/>
              <w:ind w:right="670"/>
              <w:spacing w:after="0"/>
              <w:rPr>
                <w:sz w:val="20"/>
                <w:szCs w:val="20"/>
                <w:color w:val="auto"/>
              </w:rPr>
            </w:pPr>
            <w:r>
              <w:rPr>
                <w:rFonts w:ascii="Arial" w:cs="Arial" w:eastAsia="Arial" w:hAnsi="Arial"/>
                <w:sz w:val="18"/>
                <w:szCs w:val="18"/>
                <w:color w:val="auto"/>
                <w:w w:val="91"/>
              </w:rPr>
              <w:t>(State of incorporation or organization)</w:t>
            </w:r>
          </w:p>
        </w:tc>
        <w:tc>
          <w:tcPr>
            <w:tcW w:w="3380" w:type="dxa"/>
            <w:vAlign w:val="bottom"/>
          </w:tcPr>
          <w:p>
            <w:pPr>
              <w:jc w:val="center"/>
              <w:ind w:left="670"/>
              <w:spacing w:after="0"/>
              <w:rPr>
                <w:sz w:val="20"/>
                <w:szCs w:val="20"/>
                <w:color w:val="auto"/>
              </w:rPr>
            </w:pPr>
            <w:r>
              <w:rPr>
                <w:rFonts w:ascii="Arial" w:cs="Arial" w:eastAsia="Arial" w:hAnsi="Arial"/>
                <w:sz w:val="18"/>
                <w:szCs w:val="18"/>
                <w:color w:val="auto"/>
                <w:w w:val="94"/>
              </w:rPr>
              <w:t>(I.R.S. Employer Identification No.)</w:t>
            </w:r>
          </w:p>
        </w:tc>
      </w:tr>
      <w:tr>
        <w:trPr>
          <w:trHeight w:val="216"/>
        </w:trPr>
        <w:tc>
          <w:tcPr>
            <w:tcW w:w="634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600 Steamboat Road</w:t>
            </w:r>
          </w:p>
        </w:tc>
        <w:tc>
          <w:tcPr>
            <w:tcW w:w="3380" w:type="dxa"/>
            <w:vAlign w:val="bottom"/>
          </w:tcPr>
          <w:p>
            <w:pPr>
              <w:spacing w:after="0"/>
              <w:rPr>
                <w:sz w:val="18"/>
                <w:szCs w:val="18"/>
                <w:color w:val="auto"/>
              </w:rPr>
            </w:pPr>
          </w:p>
        </w:tc>
      </w:tr>
      <w:tr>
        <w:trPr>
          <w:trHeight w:val="220"/>
        </w:trPr>
        <w:tc>
          <w:tcPr>
            <w:tcW w:w="6340" w:type="dxa"/>
            <w:vAlign w:val="bottom"/>
          </w:tcPr>
          <w:p>
            <w:pPr>
              <w:jc w:val="center"/>
              <w:ind w:right="670"/>
              <w:spacing w:after="0"/>
              <w:rPr>
                <w:sz w:val="20"/>
                <w:szCs w:val="20"/>
                <w:color w:val="auto"/>
              </w:rPr>
            </w:pPr>
            <w:r>
              <w:rPr>
                <w:rFonts w:ascii="Arial" w:cs="Arial" w:eastAsia="Arial" w:hAnsi="Arial"/>
                <w:sz w:val="18"/>
                <w:szCs w:val="18"/>
                <w:b w:val="1"/>
                <w:bCs w:val="1"/>
                <w:color w:val="auto"/>
                <w:w w:val="90"/>
              </w:rPr>
              <w:t>Greenwich, Connecticut</w:t>
            </w:r>
          </w:p>
        </w:tc>
        <w:tc>
          <w:tcPr>
            <w:tcW w:w="3380" w:type="dxa"/>
            <w:vAlign w:val="bottom"/>
          </w:tcPr>
          <w:p>
            <w:pPr>
              <w:jc w:val="right"/>
              <w:ind w:right="990"/>
              <w:spacing w:after="0"/>
              <w:rPr>
                <w:sz w:val="20"/>
                <w:szCs w:val="20"/>
                <w:color w:val="auto"/>
              </w:rPr>
            </w:pPr>
            <w:r>
              <w:rPr>
                <w:rFonts w:ascii="Arial" w:cs="Arial" w:eastAsia="Arial" w:hAnsi="Arial"/>
                <w:sz w:val="18"/>
                <w:szCs w:val="18"/>
                <w:b w:val="1"/>
                <w:bCs w:val="1"/>
                <w:color w:val="auto"/>
              </w:rPr>
              <w:t>06830</w:t>
            </w:r>
          </w:p>
        </w:tc>
      </w:tr>
      <w:tr>
        <w:trPr>
          <w:trHeight w:val="230"/>
        </w:trPr>
        <w:tc>
          <w:tcPr>
            <w:tcW w:w="634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3380" w:type="dxa"/>
            <w:vAlign w:val="bottom"/>
          </w:tcPr>
          <w:p>
            <w:pPr>
              <w:jc w:val="center"/>
              <w:ind w:left="650"/>
              <w:spacing w:after="0"/>
              <w:rPr>
                <w:sz w:val="20"/>
                <w:szCs w:val="20"/>
                <w:color w:val="auto"/>
              </w:rPr>
            </w:pPr>
            <w:r>
              <w:rPr>
                <w:rFonts w:ascii="Arial" w:cs="Arial" w:eastAsia="Arial" w:hAnsi="Arial"/>
                <w:sz w:val="18"/>
                <w:szCs w:val="18"/>
                <w:color w:val="auto"/>
                <w:w w:val="94"/>
              </w:rPr>
              <w:t>(Zip Code)</w:t>
            </w:r>
          </w:p>
        </w:tc>
      </w:tr>
      <w:tr>
        <w:trPr>
          <w:trHeight w:val="432"/>
        </w:trPr>
        <w:tc>
          <w:tcPr>
            <w:tcW w:w="9720" w:type="dxa"/>
            <w:vAlign w:val="bottom"/>
            <w:gridSpan w:val="2"/>
          </w:tcPr>
          <w:p>
            <w:pPr>
              <w:ind w:left="308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418"/>
        </w:trPr>
        <w:tc>
          <w:tcPr>
            <w:tcW w:w="6340" w:type="dxa"/>
            <w:vAlign w:val="bottom"/>
          </w:tcPr>
          <w:p>
            <w:pPr>
              <w:jc w:val="center"/>
              <w:ind w:right="670"/>
              <w:spacing w:after="0"/>
              <w:rPr>
                <w:sz w:val="20"/>
                <w:szCs w:val="20"/>
                <w:color w:val="auto"/>
              </w:rPr>
            </w:pPr>
            <w:r>
              <w:rPr>
                <w:rFonts w:ascii="Arial" w:cs="Arial" w:eastAsia="Arial" w:hAnsi="Arial"/>
                <w:sz w:val="18"/>
                <w:szCs w:val="18"/>
                <w:color w:val="auto"/>
                <w:w w:val="90"/>
              </w:rPr>
              <w:t>Title of each class</w:t>
            </w:r>
          </w:p>
        </w:tc>
        <w:tc>
          <w:tcPr>
            <w:tcW w:w="3380" w:type="dxa"/>
            <w:vAlign w:val="bottom"/>
          </w:tcPr>
          <w:p>
            <w:pPr>
              <w:jc w:val="center"/>
              <w:ind w:left="670"/>
              <w:spacing w:after="0"/>
              <w:rPr>
                <w:sz w:val="20"/>
                <w:szCs w:val="20"/>
                <w:color w:val="auto"/>
              </w:rPr>
            </w:pPr>
            <w:r>
              <w:rPr>
                <w:rFonts w:ascii="Arial" w:cs="Arial" w:eastAsia="Arial" w:hAnsi="Arial"/>
                <w:sz w:val="18"/>
                <w:szCs w:val="18"/>
                <w:color w:val="auto"/>
                <w:w w:val="89"/>
              </w:rPr>
              <w:t>Name of each exchange on which</w:t>
            </w:r>
          </w:p>
        </w:tc>
      </w:tr>
      <w:tr>
        <w:trPr>
          <w:trHeight w:val="212"/>
        </w:trPr>
        <w:tc>
          <w:tcPr>
            <w:tcW w:w="6340" w:type="dxa"/>
            <w:vAlign w:val="bottom"/>
          </w:tcPr>
          <w:p>
            <w:pPr>
              <w:jc w:val="center"/>
              <w:ind w:right="670"/>
              <w:spacing w:after="0"/>
              <w:rPr>
                <w:sz w:val="20"/>
                <w:szCs w:val="20"/>
                <w:color w:val="auto"/>
              </w:rPr>
            </w:pPr>
            <w:r>
              <w:rPr>
                <w:rFonts w:ascii="Arial" w:cs="Arial" w:eastAsia="Arial" w:hAnsi="Arial"/>
                <w:sz w:val="18"/>
                <w:szCs w:val="18"/>
                <w:color w:val="auto"/>
                <w:w w:val="87"/>
              </w:rPr>
              <w:t>to be so registered</w:t>
            </w:r>
          </w:p>
        </w:tc>
        <w:tc>
          <w:tcPr>
            <w:tcW w:w="3380" w:type="dxa"/>
            <w:vAlign w:val="bottom"/>
          </w:tcPr>
          <w:p>
            <w:pPr>
              <w:jc w:val="center"/>
              <w:ind w:left="650"/>
              <w:spacing w:after="0"/>
              <w:rPr>
                <w:sz w:val="20"/>
                <w:szCs w:val="20"/>
                <w:color w:val="auto"/>
              </w:rPr>
            </w:pPr>
            <w:r>
              <w:rPr>
                <w:rFonts w:ascii="Arial" w:cs="Arial" w:eastAsia="Arial" w:hAnsi="Arial"/>
                <w:sz w:val="18"/>
                <w:szCs w:val="18"/>
                <w:color w:val="auto"/>
                <w:w w:val="87"/>
              </w:rPr>
              <w:t>each class is to be registered</w:t>
            </w:r>
          </w:p>
        </w:tc>
      </w:tr>
      <w:tr>
        <w:trPr>
          <w:trHeight w:val="216"/>
        </w:trPr>
        <w:tc>
          <w:tcPr>
            <w:tcW w:w="6340" w:type="dxa"/>
            <w:vAlign w:val="bottom"/>
          </w:tcPr>
          <w:p>
            <w:pPr>
              <w:jc w:val="center"/>
              <w:ind w:right="650"/>
              <w:spacing w:after="0"/>
              <w:rPr>
                <w:sz w:val="20"/>
                <w:szCs w:val="20"/>
                <w:color w:val="auto"/>
              </w:rPr>
            </w:pPr>
            <w:r>
              <w:rPr>
                <w:rFonts w:ascii="Arial" w:cs="Arial" w:eastAsia="Arial" w:hAnsi="Arial"/>
                <w:sz w:val="18"/>
                <w:szCs w:val="18"/>
                <w:b w:val="1"/>
                <w:bCs w:val="1"/>
                <w:color w:val="auto"/>
                <w:w w:val="87"/>
              </w:rPr>
              <w:t>Units, each consisting of one share of Class A common stock and one-half</w:t>
            </w:r>
          </w:p>
        </w:tc>
        <w:tc>
          <w:tcPr>
            <w:tcW w:w="3380" w:type="dxa"/>
            <w:vAlign w:val="bottom"/>
          </w:tcPr>
          <w:p>
            <w:pPr>
              <w:jc w:val="center"/>
              <w:ind w:left="650"/>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634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of one redeemable warrant</w:t>
            </w:r>
          </w:p>
        </w:tc>
        <w:tc>
          <w:tcPr>
            <w:tcW w:w="3380" w:type="dxa"/>
            <w:vAlign w:val="bottom"/>
          </w:tcPr>
          <w:p>
            <w:pPr>
              <w:spacing w:after="0"/>
              <w:rPr>
                <w:sz w:val="18"/>
                <w:szCs w:val="18"/>
                <w:color w:val="auto"/>
              </w:rPr>
            </w:pPr>
          </w:p>
        </w:tc>
      </w:tr>
      <w:tr>
        <w:trPr>
          <w:trHeight w:val="216"/>
        </w:trPr>
        <w:tc>
          <w:tcPr>
            <w:tcW w:w="6340" w:type="dxa"/>
            <w:vAlign w:val="bottom"/>
          </w:tcPr>
          <w:p>
            <w:pPr>
              <w:jc w:val="center"/>
              <w:ind w:right="670"/>
              <w:spacing w:after="0"/>
              <w:rPr>
                <w:sz w:val="20"/>
                <w:szCs w:val="20"/>
                <w:color w:val="auto"/>
              </w:rPr>
            </w:pPr>
            <w:r>
              <w:rPr>
                <w:rFonts w:ascii="Arial" w:cs="Arial" w:eastAsia="Arial" w:hAnsi="Arial"/>
                <w:sz w:val="18"/>
                <w:szCs w:val="18"/>
                <w:b w:val="1"/>
                <w:bCs w:val="1"/>
                <w:color w:val="auto"/>
                <w:w w:val="88"/>
              </w:rPr>
              <w:t>Class A common stock, par value $0.0001 per share</w:t>
            </w:r>
          </w:p>
        </w:tc>
        <w:tc>
          <w:tcPr>
            <w:tcW w:w="3380" w:type="dxa"/>
            <w:vAlign w:val="bottom"/>
          </w:tcPr>
          <w:p>
            <w:pPr>
              <w:jc w:val="center"/>
              <w:ind w:left="650"/>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634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Redeemable warrants, each whole warrant exercisable for one share of</w:t>
            </w:r>
          </w:p>
        </w:tc>
        <w:tc>
          <w:tcPr>
            <w:tcW w:w="3380" w:type="dxa"/>
            <w:vAlign w:val="bottom"/>
          </w:tcPr>
          <w:p>
            <w:pPr>
              <w:jc w:val="center"/>
              <w:ind w:left="650"/>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6340" w:type="dxa"/>
            <w:vAlign w:val="bottom"/>
          </w:tcPr>
          <w:p>
            <w:pPr>
              <w:jc w:val="center"/>
              <w:ind w:right="670"/>
              <w:spacing w:after="0"/>
              <w:rPr>
                <w:sz w:val="20"/>
                <w:szCs w:val="20"/>
                <w:color w:val="auto"/>
              </w:rPr>
            </w:pPr>
            <w:r>
              <w:rPr>
                <w:rFonts w:ascii="Arial" w:cs="Arial" w:eastAsia="Arial" w:hAnsi="Arial"/>
                <w:sz w:val="18"/>
                <w:szCs w:val="18"/>
                <w:b w:val="1"/>
                <w:bCs w:val="1"/>
                <w:color w:val="auto"/>
                <w:w w:val="87"/>
              </w:rPr>
              <w:t>Class A common stock, each at an exercise price of $11.50 per share</w:t>
            </w:r>
          </w:p>
        </w:tc>
        <w:tc>
          <w:tcPr>
            <w:tcW w:w="3380" w:type="dxa"/>
            <w:vAlign w:val="bottom"/>
          </w:tcPr>
          <w:p>
            <w:pPr>
              <w:spacing w:after="0"/>
              <w:rPr>
                <w:sz w:val="20"/>
                <w:szCs w:val="20"/>
                <w:color w:val="auto"/>
              </w:rPr>
            </w:pPr>
          </w:p>
        </w:tc>
      </w:tr>
    </w:tbl>
    <w:p>
      <w:pPr>
        <w:spacing w:after="0" w:line="20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Act registration statement or Regulation A offering statement file number to which this form relates: 333-253107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to be registered pursuant to Section 12(g) of the Act: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78" w:right="359"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Amendment No. 1 to Form 8-A amends and restates in its entirety the information set forth in the registration statement on Form 8-A previously filed by AMCI Acquisition Corp. II (the “Registrant”) on March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20" w:top="904" w:right="95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securities to be registered hereby are the units, shares of Class A common stock, par value $0.0001 per share, and warrants to purchase shares of Class A common stock of AMCI Acquisition Corp. II (the “Registrant”). The description of the units, Class A common stock and warrants set forth under the heading “Description of Securities” in the Registrant’s prospectus forming a part of its Registration Statement on Form S-1 (File No. 333-253107), originally filed with the U.S. Securities and Exchange Commission on February 12, 2021, as thereafter amended and supplemented from time to time (the “Registration Statement”), to which this Form 8-A relates is incorporated by reference herein. Any form of prospectus or prospectus supplement to the Registration Statement that includes such descriptions and that are subsequently filed are hereby also incorporated by reference herein.</w:t>
      </w:r>
    </w:p>
    <w:p>
      <w:pPr>
        <w:spacing w:after="0" w:line="1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b w:val="1"/>
                <w:bCs w:val="1"/>
                <w:color w:val="auto"/>
              </w:rPr>
              <w:t>AMCI ACQUISITION CORP. II</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August 2, 2021</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Nimesh Patel</w:t>
            </w:r>
          </w:p>
        </w:tc>
      </w:tr>
      <w:tr>
        <w:trPr>
          <w:trHeight w:val="195"/>
        </w:trPr>
        <w:tc>
          <w:tcPr>
            <w:tcW w:w="3600" w:type="dxa"/>
            <w:vAlign w:val="bottom"/>
          </w:tcPr>
          <w:p>
            <w:pPr>
              <w:spacing w:after="0"/>
              <w:rPr>
                <w:sz w:val="16"/>
                <w:szCs w:val="16"/>
                <w:color w:val="auto"/>
              </w:rPr>
            </w:pPr>
          </w:p>
        </w:tc>
        <w:tc>
          <w:tcPr>
            <w:tcW w:w="26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Nimesh Patel</w:t>
            </w:r>
          </w:p>
        </w:tc>
      </w:tr>
      <w:tr>
        <w:trPr>
          <w:trHeight w:val="230"/>
        </w:trPr>
        <w:tc>
          <w:tcPr>
            <w:tcW w:w="360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2021-08-02T14:44:18Z</dcterms:created>
  <dcterms:modified xsi:type="dcterms:W3CDTF">2021-08-02T14:44:18Z</dcterms:modified>
</cp:coreProperties>
</file>