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55245</wp:posOffset>
            </wp:positionV>
            <wp:extent cx="28803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147955</wp:posOffset>
            </wp:positionV>
            <wp:extent cx="2880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3660" w:right="1420" w:hanging="3634"/>
        <w:spacing w:after="0" w:line="319" w:lineRule="auto"/>
        <w:tabs>
          <w:tab w:leader="none" w:pos="583" w:val="left"/>
        </w:tabs>
        <w:numPr>
          <w:ilvl w:val="0"/>
          <w:numId w:val="1"/>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260" w:right="1400" w:hanging="4234"/>
        <w:spacing w:after="0" w:line="315" w:lineRule="auto"/>
        <w:tabs>
          <w:tab w:leader="none" w:pos="572" w:val="left"/>
        </w:tabs>
        <w:numPr>
          <w:ilvl w:val="0"/>
          <w:numId w:val="2"/>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001-40282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-5080</wp:posOffset>
            </wp:positionV>
            <wp:extent cx="2880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LanzaTech Global, Inc.</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68580</wp:posOffset>
            </wp:positionV>
            <wp:extent cx="2880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36" w:lineRule="exact"/>
        <w:rPr>
          <w:sz w:val="24"/>
          <w:szCs w:val="24"/>
          <w:color w:val="auto"/>
        </w:rPr>
      </w:pPr>
    </w:p>
    <w:p>
      <w:pPr>
        <w:ind w:left="2420"/>
        <w:spacing w:after="0"/>
        <w:tabs>
          <w:tab w:leader="none" w:pos="80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92-2018969</w:t>
      </w:r>
    </w:p>
    <w:p>
      <w:pPr>
        <w:spacing w:after="0" w:line="67" w:lineRule="exact"/>
        <w:rPr>
          <w:sz w:val="24"/>
          <w:szCs w:val="24"/>
          <w:color w:val="auto"/>
        </w:rPr>
      </w:pPr>
    </w:p>
    <w:p>
      <w:pPr>
        <w:ind w:left="640"/>
        <w:spacing w:after="0"/>
        <w:tabs>
          <w:tab w:leader="none" w:pos="712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8"/>
          <w:szCs w:val="18"/>
          <w:color w:val="auto"/>
        </w:rPr>
        <w:t>(I.R.S. Employer Identification No.)</w:t>
      </w:r>
    </w:p>
    <w:p>
      <w:pPr>
        <w:spacing w:after="0" w:line="1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8045 Lamon Avenue, Suite 400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Skokie, IL 60077</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(847) 324-2400</w:t>
      </w:r>
    </w:p>
    <w:p>
      <w:pPr>
        <w:spacing w:after="0" w:line="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139700</wp:posOffset>
            </wp:positionV>
            <wp:extent cx="2880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83"/>
        </w:trPr>
        <w:tc>
          <w:tcPr>
            <w:tcW w:w="13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0"/>
        </w:trPr>
        <w:tc>
          <w:tcPr>
            <w:tcW w:w="1300" w:type="dxa"/>
            <w:vAlign w:val="bottom"/>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LNZA</w:t>
            </w:r>
          </w:p>
        </w:tc>
        <w:tc>
          <w:tcPr>
            <w:tcW w:w="1260" w:type="dxa"/>
            <w:vAlign w:val="bottom"/>
          </w:tcPr>
          <w:p>
            <w:pPr>
              <w:spacing w:after="0"/>
              <w:rPr>
                <w:sz w:val="24"/>
                <w:szCs w:val="24"/>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r>
        <w:trPr>
          <w:trHeight w:val="432"/>
        </w:trPr>
        <w:tc>
          <w:tcPr>
            <w:tcW w:w="1300" w:type="dxa"/>
            <w:vAlign w:val="bottom"/>
          </w:tcPr>
          <w:p>
            <w:pPr>
              <w:spacing w:after="0"/>
              <w:rPr>
                <w:sz w:val="24"/>
                <w:szCs w:val="24"/>
                <w:color w:val="auto"/>
              </w:rPr>
            </w:pPr>
          </w:p>
        </w:tc>
        <w:tc>
          <w:tcPr>
            <w:tcW w:w="300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0" w:type="dxa"/>
            <w:vAlign w:val="bottom"/>
          </w:tcPr>
          <w:p>
            <w:pPr>
              <w:spacing w:after="0"/>
              <w:rPr>
                <w:sz w:val="24"/>
                <w:szCs w:val="24"/>
                <w:color w:val="auto"/>
              </w:rPr>
            </w:pPr>
          </w:p>
        </w:tc>
        <w:tc>
          <w:tcPr>
            <w:tcW w:w="270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6"/>
              </w:rPr>
              <w:t>LNZAW</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200" w:lineRule="exact"/>
        <w:rPr>
          <w:sz w:val="24"/>
          <w:szCs w:val="24"/>
          <w:color w:val="auto"/>
        </w:rPr>
      </w:pPr>
    </w:p>
    <w:p>
      <w:pPr>
        <w:spacing w:after="0" w:line="295"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20" w:type="dxa"/>
        <w:tblCellMar>
          <w:top w:w="0" w:type="dxa"/>
          <w:left w:w="0" w:type="dxa"/>
          <w:bottom w:w="0" w:type="dxa"/>
          <w:right w:w="0" w:type="dxa"/>
        </w:tblCellMar>
      </w:tblPr>
      <w:tr>
        <w:trPr>
          <w:trHeight w:val="29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Large accelerated filer</w:t>
            </w:r>
          </w:p>
        </w:tc>
        <w:tc>
          <w:tcPr>
            <w:tcW w:w="198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Accelerated filer</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18"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140"/>
          </w:cols>
          <w:pgMar w:left="320" w:top="1186" w:right="439" w:bottom="70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197,782,055 shares of common stock as of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186" w:right="439" w:bottom="704"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720" w:type="dxa"/>
            <w:vAlign w:val="bottom"/>
          </w:tcPr>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r>
      <w:tr>
        <w:trPr>
          <w:trHeight w:val="189"/>
        </w:trPr>
        <w:tc>
          <w:tcPr>
            <w:tcW w:w="107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29"/>
        </w:trPr>
        <w:tc>
          <w:tcPr>
            <w:tcW w:w="10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107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Condensed Consolidated Balance Sheets as of September 30, 2024 (unaudited) and December 31, 2023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10720" w:type="dxa"/>
            <w:vAlign w:val="bottom"/>
          </w:tcPr>
          <w:p>
            <w:pPr>
              <w:ind w:left="76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Loss for the three and nine months ended September 30, 2024</w:t>
            </w:r>
          </w:p>
        </w:tc>
        <w:tc>
          <w:tcPr>
            <w:tcW w:w="520" w:type="dxa"/>
            <w:vAlign w:val="bottom"/>
          </w:tcPr>
          <w:p>
            <w:pPr>
              <w:spacing w:after="0"/>
              <w:rPr>
                <w:sz w:val="15"/>
                <w:szCs w:val="15"/>
                <w:color w:val="auto"/>
              </w:rPr>
            </w:pPr>
          </w:p>
        </w:tc>
      </w:tr>
      <w:tr>
        <w:trPr>
          <w:trHeight w:val="243"/>
        </w:trPr>
        <w:tc>
          <w:tcPr>
            <w:tcW w:w="10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and 2023 (unaudited)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6"/>
        </w:trPr>
        <w:tc>
          <w:tcPr>
            <w:tcW w:w="10720" w:type="dxa"/>
            <w:vAlign w:val="bottom"/>
            <w:shd w:val="clear" w:color="auto" w:fill="CCEEFF"/>
          </w:tcPr>
          <w:p>
            <w:pPr>
              <w:ind w:left="76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Changes in Redeemable Convertible Preferred Stock and Shareholders’ Equity/Deficit for the</w:t>
            </w:r>
          </w:p>
        </w:tc>
        <w:tc>
          <w:tcPr>
            <w:tcW w:w="520" w:type="dxa"/>
            <w:vAlign w:val="bottom"/>
            <w:shd w:val="clear" w:color="auto" w:fill="CCEEFF"/>
          </w:tcPr>
          <w:p>
            <w:pPr>
              <w:spacing w:after="0"/>
              <w:rPr>
                <w:sz w:val="15"/>
                <w:szCs w:val="15"/>
                <w:color w:val="auto"/>
              </w:rPr>
            </w:pPr>
          </w:p>
        </w:tc>
      </w:tr>
      <w:tr>
        <w:trPr>
          <w:trHeight w:val="243"/>
        </w:trPr>
        <w:tc>
          <w:tcPr>
            <w:tcW w:w="107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three and nine months ended September 30, 2024 and 2023 (unaudited)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10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September 30, 2024 and 2023 (unaudited)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107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 (unaudited)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10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10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20" w:type="dxa"/>
            <w:vAlign w:val="bottom"/>
            <w:shd w:val="clear" w:color="auto" w:fill="CCEEFF"/>
          </w:tcPr>
          <w:p>
            <w:pPr>
              <w:spacing w:after="0"/>
              <w:rPr>
                <w:sz w:val="19"/>
                <w:szCs w:val="19"/>
                <w:color w:val="auto"/>
              </w:rPr>
            </w:pPr>
          </w:p>
        </w:tc>
      </w:tr>
      <w:tr>
        <w:trPr>
          <w:trHeight w:val="229"/>
        </w:trPr>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 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10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Item 1A. Risk Factors.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10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10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Item 5. Other Information.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6. 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10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17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filed by LanzaTech Global, Inc. together with its consolidated subsidiaries, contains statements that are forward-looking and as such are not historical facts. This includes,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we discuss our strategies or plans, we are making projections, forecasts or forward-looking statements. Such statements are based on the beliefs of, as well as assumptions made by and information currently available to, LanzaTech’s management.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include, for example, statements about:</w:t>
      </w:r>
    </w:p>
    <w:p>
      <w:pPr>
        <w:spacing w:after="0" w:line="171"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resolve material litigation proceedings in our favor;</w:t>
      </w:r>
    </w:p>
    <w:p>
      <w:pPr>
        <w:spacing w:after="0" w:line="171" w:lineRule="exact"/>
        <w:rPr>
          <w:rFonts w:ascii="Times New Roman" w:cs="Times New Roman" w:eastAsia="Times New Roman" w:hAnsi="Times New Roman"/>
          <w:sz w:val="18"/>
          <w:szCs w:val="18"/>
          <w:color w:val="auto"/>
        </w:rPr>
      </w:pPr>
    </w:p>
    <w:p>
      <w:pPr>
        <w:ind w:left="660" w:righ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our ability to raise substantial additional financing to fund our operations and complete the development and commercialization of our process technologies;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successfully maintain and manage relationships with industry partners;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governmental programs designed to incentivize the production and consumption of low-carbon fuels and carbon capture and utilization;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 and to manage our growth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growth, costs and expenses, availability of resources and capital requirements;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revenue from engineering services, sales of equipment packages and sales of CarbonSmart products and to improve our operating results;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ownership stake in LanzaJet, Inc. (“LanzaJet”) through the sublicensing of LanzaJet’s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collaborate with our partners and progress projects into the construction phase;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only predictions based on our current expectations and projections about future events and are subject to a number of risks, uncertainties and assumptions, including the risk factors discussed in Part II, Item 1A of this Quarterly Report and in Part I, Item 1A of our Annual Report on Form 10-K for the year ended December 31, 2023, and in other documents that we file or furnish from time to time with the Securities and Exchange Commission (“SEC”). Moreover, we operate in a competitive industry, and new risks emerge from time to time. It is not possible for the management of LanzaTech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in this Quarterly Report.</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it is made, and we do not undertake any obligation to publicly update or revise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93" w:right="6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75,585</w:t>
            </w:r>
          </w:p>
        </w:tc>
        <w:tc>
          <w:tcPr>
            <w:tcW w:w="0" w:type="dxa"/>
            <w:vAlign w:val="bottom"/>
          </w:tcPr>
          <w:p>
            <w:pPr>
              <w:spacing w:after="0"/>
              <w:rPr>
                <w:sz w:val="1"/>
                <w:szCs w:val="1"/>
                <w:color w:val="auto"/>
              </w:rPr>
            </w:pP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Held-to-maturity investment securities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45,159</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Trade and other receivables, net of allowance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0" w:type="dxa"/>
            <w:vAlign w:val="bottom"/>
          </w:tcPr>
          <w:p>
            <w:pPr>
              <w:spacing w:after="0"/>
              <w:rPr>
                <w:sz w:val="1"/>
                <w:szCs w:val="1"/>
                <w:color w:val="auto"/>
              </w:rPr>
            </w:pP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Contract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0" w:type="dxa"/>
            <w:vAlign w:val="bottom"/>
          </w:tcPr>
          <w:p>
            <w:pPr>
              <w:spacing w:after="0"/>
              <w:rPr>
                <w:sz w:val="1"/>
                <w:szCs w:val="1"/>
                <w:color w:val="auto"/>
              </w:rPr>
            </w:pPr>
          </w:p>
        </w:tc>
      </w:tr>
      <w:tr>
        <w:trPr>
          <w:trHeight w:val="223"/>
        </w:trPr>
        <w:tc>
          <w:tcPr>
            <w:tcW w:w="76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172,700</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security investment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216,216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241,624</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0" w:type="dxa"/>
            <w:vAlign w:val="bottom"/>
          </w:tcPr>
          <w:p>
            <w:pPr>
              <w:spacing w:after="0"/>
              <w:rPr>
                <w:sz w:val="1"/>
                <w:szCs w:val="1"/>
                <w:color w:val="auto"/>
              </w:rPr>
            </w:pP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Warrants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0" w:type="dxa"/>
            <w:vAlign w:val="bottom"/>
          </w:tcPr>
          <w:p>
            <w:pPr>
              <w:spacing w:after="0"/>
              <w:rPr>
                <w:sz w:val="1"/>
                <w:szCs w:val="1"/>
                <w:color w:val="auto"/>
              </w:rPr>
            </w:pP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Fixed Maturity Consideration and current FPA Put Option liability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Contract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76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27,782</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contract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Maturity Consideration</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FPA Put Option liability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Brookfield SAFE liability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Note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202,611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127,153</w:t>
            </w: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Common stock, $0.0001 par value; 400,000,000 and 400,000,000 shares authorized, 197,782,055 and</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43"/>
        </w:trPr>
        <w:tc>
          <w:tcPr>
            <w:tcW w:w="7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196,642,451 shares issued and outstanding as of September 30, 2024 and December 31, 2023, respectively</w:t>
            </w:r>
          </w:p>
        </w:tc>
        <w:tc>
          <w:tcPr>
            <w:tcW w:w="160" w:type="dxa"/>
            <w:vAlign w:val="bottom"/>
            <w:shd w:val="clear" w:color="auto" w:fill="CCEEFF"/>
          </w:tcPr>
          <w:p>
            <w:pPr>
              <w:spacing w:after="0"/>
              <w:rPr>
                <w:sz w:val="12"/>
                <w:szCs w:val="12"/>
                <w:color w:val="auto"/>
              </w:rPr>
            </w:pPr>
          </w:p>
        </w:tc>
        <w:tc>
          <w:tcPr>
            <w:tcW w:w="1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762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954,035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943,960</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(942,610)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(831,872)</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114,471</w:t>
            </w:r>
          </w:p>
        </w:tc>
        <w:tc>
          <w:tcPr>
            <w:tcW w:w="0" w:type="dxa"/>
            <w:vAlign w:val="bottom"/>
          </w:tcPr>
          <w:p>
            <w:pPr>
              <w:spacing w:after="0"/>
              <w:rPr>
                <w:sz w:val="1"/>
                <w:szCs w:val="1"/>
                <w:color w:val="auto"/>
              </w:rPr>
            </w:pPr>
          </w:p>
        </w:tc>
      </w:tr>
      <w:tr>
        <w:trPr>
          <w:trHeight w:val="223"/>
        </w:trPr>
        <w:tc>
          <w:tcPr>
            <w:tcW w:w="76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216,216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241,624</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Condensed Consolidated Financial Statements.</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60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Revenue from contracts with customers and grants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32,119</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Revenue from sales of CarbonSmart products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30"/>
        </w:trPr>
        <w:tc>
          <w:tcPr>
            <w:tcW w:w="60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Revenue from collaborative arrangements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Revenue from related party transactions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23"/>
        </w:trPr>
        <w:tc>
          <w:tcPr>
            <w:tcW w:w="6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revenue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42,168</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and operating expenses: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04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7"/>
                <w:szCs w:val="17"/>
                <w:color w:val="auto"/>
              </w:rPr>
              <w:t>Cost of revenue from contracts with customers and grants (exclusive of depreciation</w:t>
            </w: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shown below)</w:t>
            </w: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04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Cost of revenue from sales of CarbonSmart products (exclusive of depreciation</w:t>
            </w: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24"/>
        </w:trPr>
        <w:tc>
          <w:tcPr>
            <w:tcW w:w="60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shown below)</w:t>
            </w: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040" w:type="dxa"/>
            <w:vAlign w:val="bottom"/>
            <w:shd w:val="clear" w:color="auto" w:fill="CCEEFF"/>
          </w:tcPr>
          <w:p>
            <w:pPr>
              <w:ind w:left="240"/>
              <w:spacing w:after="0" w:line="167" w:lineRule="exact"/>
              <w:rPr>
                <w:sz w:val="20"/>
                <w:szCs w:val="20"/>
                <w:color w:val="auto"/>
              </w:rPr>
            </w:pPr>
            <w:r>
              <w:rPr>
                <w:rFonts w:ascii="Times New Roman" w:cs="Times New Roman" w:eastAsia="Times New Roman" w:hAnsi="Times New Roman"/>
                <w:sz w:val="17"/>
                <w:szCs w:val="17"/>
                <w:color w:val="auto"/>
              </w:rPr>
              <w:t>Cost of revenue from collaborative arrangements (exclusive of depreciation shown</w:t>
            </w: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below)</w:t>
            </w: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04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Cost of revenue from related party transactions (exclusive of depreciation shown</w:t>
            </w: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4"/>
        </w:trPr>
        <w:tc>
          <w:tcPr>
            <w:tcW w:w="60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below)</w:t>
            </w: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(51,839)</w:t>
            </w:r>
          </w:p>
        </w:tc>
        <w:tc>
          <w:tcPr>
            <w:tcW w:w="0" w:type="dxa"/>
            <w:vAlign w:val="bottom"/>
          </w:tcPr>
          <w:p>
            <w:pPr>
              <w:spacing w:after="0"/>
              <w:rPr>
                <w:sz w:val="1"/>
                <w:szCs w:val="1"/>
                <w:color w:val="auto"/>
              </w:rPr>
            </w:pPr>
          </w:p>
        </w:tc>
      </w:tr>
      <w:tr>
        <w:trPr>
          <w:trHeight w:val="229"/>
        </w:trPr>
        <w:tc>
          <w:tcPr>
            <w:tcW w:w="60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Depreciation expense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(41,095)</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 cost and operating expenses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(129,903)</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(87,735)</w:t>
            </w: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income, net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Other expense, net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(26,748)</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equity method investees, net</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(115,424)</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(116,378)</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Unpaid cumulative dividends on preferred stock</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248"/>
        </w:trPr>
        <w:tc>
          <w:tcPr>
            <w:tcW w:w="6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loss allocated to common shareholders</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 - basic and diluted</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 basic and diluted</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197,773,376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195,869,537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197,499,156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169,797,443</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5"/>
                <w:szCs w:val="15"/>
                <w:color w:val="auto"/>
              </w:rPr>
            </w:pPr>
          </w:p>
        </w:tc>
        <w:tc>
          <w:tcPr>
            <w:tcW w:w="840" w:type="dxa"/>
            <w:vAlign w:val="bottom"/>
            <w:vMerge w:val="restart"/>
          </w:tcPr>
          <w:p>
            <w:pPr>
              <w:jc w:val="center"/>
              <w:ind w:right="95"/>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Other</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22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Common Stock Outstanding</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8"/>
              </w:rPr>
              <w:t>Paid-in</w:t>
            </w:r>
          </w:p>
        </w:tc>
        <w:tc>
          <w:tcPr>
            <w:tcW w:w="102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16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Shareholders'</w:t>
            </w:r>
          </w:p>
        </w:tc>
        <w:tc>
          <w:tcPr>
            <w:tcW w:w="0" w:type="dxa"/>
            <w:vAlign w:val="bottom"/>
          </w:tcPr>
          <w:p>
            <w:pPr>
              <w:spacing w:after="0"/>
              <w:rPr>
                <w:sz w:val="1"/>
                <w:szCs w:val="1"/>
                <w:color w:val="auto"/>
              </w:rPr>
            </w:pPr>
          </w:p>
        </w:tc>
      </w:tr>
      <w:tr>
        <w:trPr>
          <w:trHeight w:val="202"/>
        </w:trPr>
        <w:tc>
          <w:tcPr>
            <w:tcW w:w="4160" w:type="dxa"/>
            <w:vAlign w:val="bottom"/>
          </w:tcPr>
          <w:p>
            <w:pPr>
              <w:spacing w:after="0"/>
              <w:rPr>
                <w:sz w:val="17"/>
                <w:szCs w:val="17"/>
                <w:color w:val="auto"/>
              </w:rPr>
            </w:pPr>
          </w:p>
        </w:tc>
        <w:tc>
          <w:tcPr>
            <w:tcW w:w="22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00" w:type="dxa"/>
            <w:vAlign w:val="bottom"/>
          </w:tcPr>
          <w:p>
            <w:pPr>
              <w:spacing w:after="0"/>
              <w:rPr>
                <w:sz w:val="17"/>
                <w:szCs w:val="17"/>
                <w:color w:val="auto"/>
              </w:rPr>
            </w:pPr>
          </w:p>
        </w:tc>
        <w:tc>
          <w:tcPr>
            <w:tcW w:w="840" w:type="dxa"/>
            <w:vAlign w:val="bottom"/>
          </w:tcPr>
          <w:p>
            <w:pPr>
              <w:jc w:val="center"/>
              <w:ind w:right="115"/>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196,642,451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943,960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(831,872)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114,471</w:t>
            </w:r>
          </w:p>
        </w:tc>
        <w:tc>
          <w:tcPr>
            <w:tcW w:w="0" w:type="dxa"/>
            <w:vAlign w:val="bottom"/>
          </w:tcPr>
          <w:p>
            <w:pPr>
              <w:spacing w:after="0"/>
              <w:rPr>
                <w:sz w:val="1"/>
                <w:szCs w:val="1"/>
                <w:color w:val="auto"/>
              </w:rPr>
            </w:pPr>
          </w:p>
        </w:tc>
      </w:tr>
      <w:tr>
        <w:trPr>
          <w:trHeight w:val="226"/>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2,625</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(25,508)</w:t>
            </w:r>
          </w:p>
        </w:tc>
        <w:tc>
          <w:tcPr>
            <w:tcW w:w="0" w:type="dxa"/>
            <w:vAlign w:val="bottom"/>
          </w:tcPr>
          <w:p>
            <w:pPr>
              <w:spacing w:after="0"/>
              <w:rPr>
                <w:sz w:val="1"/>
                <w:szCs w:val="1"/>
                <w:color w:val="auto"/>
              </w:rPr>
            </w:pPr>
          </w:p>
        </w:tc>
      </w:tr>
      <w:tr>
        <w:trPr>
          <w:trHeight w:val="162"/>
        </w:trPr>
        <w:tc>
          <w:tcPr>
            <w:tcW w:w="4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options and vesting</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1,083,026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1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RSUs</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equity instruments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6"/>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7"/>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197,725,477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946,771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(857,380)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2,406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91,816</w:t>
            </w:r>
          </w:p>
        </w:tc>
        <w:tc>
          <w:tcPr>
            <w:tcW w:w="0" w:type="dxa"/>
            <w:vAlign w:val="bottom"/>
          </w:tcPr>
          <w:p>
            <w:pPr>
              <w:spacing w:after="0"/>
              <w:rPr>
                <w:sz w:val="1"/>
                <w:szCs w:val="1"/>
                <w:color w:val="auto"/>
              </w:rPr>
            </w:pPr>
          </w:p>
        </w:tc>
      </w:tr>
      <w:tr>
        <w:trPr>
          <w:trHeight w:val="21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3,672</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(27,799)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(27,799)</w:t>
            </w:r>
          </w:p>
        </w:tc>
        <w:tc>
          <w:tcPr>
            <w:tcW w:w="0" w:type="dxa"/>
            <w:vAlign w:val="bottom"/>
          </w:tcPr>
          <w:p>
            <w:pPr>
              <w:spacing w:after="0"/>
              <w:rPr>
                <w:sz w:val="1"/>
                <w:szCs w:val="1"/>
                <w:color w:val="auto"/>
              </w:rPr>
            </w:pPr>
          </w:p>
        </w:tc>
      </w:tr>
      <w:tr>
        <w:trPr>
          <w:trHeight w:val="162"/>
        </w:trPr>
        <w:tc>
          <w:tcPr>
            <w:tcW w:w="4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options and vesting</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39,590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RSUs</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21"/>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197,765,067</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950,481</w:t>
            </w:r>
          </w:p>
        </w:tc>
        <w:tc>
          <w:tcPr>
            <w:tcW w:w="8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(885,179)</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2,215</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67,536</w:t>
            </w: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3,554</w:t>
            </w:r>
          </w:p>
        </w:tc>
        <w:tc>
          <w:tcPr>
            <w:tcW w:w="0" w:type="dxa"/>
            <w:vAlign w:val="bottom"/>
          </w:tcPr>
          <w:p>
            <w:pPr>
              <w:spacing w:after="0"/>
              <w:rPr>
                <w:sz w:val="1"/>
                <w:szCs w:val="1"/>
                <w:color w:val="auto"/>
              </w:rPr>
            </w:pPr>
          </w:p>
        </w:tc>
      </w:tr>
      <w:tr>
        <w:trPr>
          <w:trHeight w:val="226"/>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(57,431)</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197,782,055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954,035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(942,610)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13,605</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40" w:top="117" w:right="6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2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1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Shareholders'</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00" w:type="dxa"/>
            <w:vAlign w:val="bottom"/>
          </w:tcPr>
          <w:p>
            <w:pPr>
              <w:spacing w:after="0"/>
              <w:rPr>
                <w:sz w:val="17"/>
                <w:szCs w:val="17"/>
                <w:color w:val="auto"/>
              </w:rPr>
            </w:pPr>
          </w:p>
        </w:tc>
        <w:tc>
          <w:tcPr>
            <w:tcW w:w="840" w:type="dxa"/>
            <w:vAlign w:val="bottom"/>
          </w:tcPr>
          <w:p>
            <w:pPr>
              <w:jc w:val="center"/>
              <w:ind w:right="115"/>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920" w:type="dxa"/>
            <w:vAlign w:val="bottom"/>
            <w:tcBorders>
              <w:right w:val="single" w:sz="8" w:color="auto"/>
            </w:tcBorders>
            <w:gridSpan w:val="5"/>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192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Preferred Stock</w:t>
            </w:r>
          </w:p>
        </w:tc>
        <w:tc>
          <w:tcPr>
            <w:tcW w:w="80" w:type="dxa"/>
            <w:vAlign w:val="bottom"/>
          </w:tcPr>
          <w:p>
            <w:pPr>
              <w:spacing w:after="0"/>
              <w:rPr>
                <w:sz w:val="18"/>
                <w:szCs w:val="18"/>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29,521,810</w:t>
            </w:r>
          </w:p>
        </w:tc>
        <w:tc>
          <w:tcPr>
            <w:tcW w:w="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$480,631</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2,382,358</w:t>
            </w:r>
          </w:p>
        </w:tc>
        <w:tc>
          <w:tcPr>
            <w:tcW w:w="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24,783</w:t>
            </w: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(456,245)</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2,740</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(428,722)</w:t>
            </w: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Retroactive application of recapitalization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99,626,583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8,039,693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balance, beginning of period</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129,148,393</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480,631</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10,422,051</w:t>
            </w:r>
          </w:p>
        </w:tc>
        <w:tc>
          <w:tcPr>
            <w:tcW w:w="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24,782</w:t>
            </w: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(456,245)</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2,740</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(428,722)</w:t>
            </w: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3,505</w:t>
            </w:r>
          </w:p>
        </w:tc>
        <w:tc>
          <w:tcPr>
            <w:tcW w:w="0" w:type="dxa"/>
            <w:vAlign w:val="bottom"/>
          </w:tcPr>
          <w:p>
            <w:pPr>
              <w:spacing w:after="0"/>
              <w:rPr>
                <w:sz w:val="1"/>
                <w:szCs w:val="1"/>
                <w:color w:val="auto"/>
              </w:rPr>
            </w:pPr>
          </w:p>
        </w:tc>
      </w:tr>
      <w:tr>
        <w:trPr>
          <w:trHeight w:val="23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RSA vesting</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2,535,825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equity instruments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99"/>
              </w:rPr>
              <w:t>(771,141)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(7,650)</w:t>
            </w:r>
          </w:p>
        </w:tc>
        <w:tc>
          <w:tcPr>
            <w:tcW w:w="0" w:type="dxa"/>
            <w:vAlign w:val="bottom"/>
          </w:tcPr>
          <w:p>
            <w:pPr>
              <w:spacing w:after="0"/>
              <w:rPr>
                <w:sz w:val="1"/>
                <w:szCs w:val="1"/>
                <w:color w:val="auto"/>
              </w:rPr>
            </w:pPr>
          </w:p>
        </w:tc>
      </w:tr>
      <w:tr>
        <w:trPr>
          <w:trHeight w:val="23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(63,312)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(63,312)</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470,843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0" w:type="dxa"/>
            <w:vAlign w:val="bottom"/>
          </w:tcPr>
          <w:p>
            <w:pPr>
              <w:spacing w:after="0"/>
              <w:rPr>
                <w:sz w:val="1"/>
                <w:szCs w:val="1"/>
                <w:color w:val="auto"/>
              </w:rPr>
            </w:pPr>
          </w:p>
        </w:tc>
      </w:tr>
      <w:tr>
        <w:trPr>
          <w:trHeight w:val="213"/>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Exercise of a warrant, Series C and D</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594,309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5,890</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In-kind payment of preferred dividend</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241,529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(241,529)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(241,529)</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Conversion of preferred stock into common</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(129,742,702)</w:t>
            </w:r>
          </w:p>
        </w:tc>
        <w:tc>
          <w:tcPr>
            <w:tcW w:w="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(728,050)</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153,895,644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728,035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728,050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Recapitalization, net of transaction expenses</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28,898,374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236,970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236,973</w:t>
            </w:r>
          </w:p>
        </w:tc>
        <w:tc>
          <w:tcPr>
            <w:tcW w:w="0" w:type="dxa"/>
            <w:vAlign w:val="bottom"/>
          </w:tcPr>
          <w:p>
            <w:pPr>
              <w:spacing w:after="0"/>
              <w:rPr>
                <w:sz w:val="1"/>
                <w:szCs w:val="1"/>
                <w:color w:val="auto"/>
              </w:rPr>
            </w:pPr>
          </w:p>
        </w:tc>
      </w:tr>
      <w:tr>
        <w:trPr>
          <w:trHeight w:val="213"/>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 3)</w:t>
            </w: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FPA prepayment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(60,547)</w:t>
            </w: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Reclassification of warrants to equity</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0" w:type="dxa"/>
            <w:vAlign w:val="bottom"/>
          </w:tcPr>
          <w:p>
            <w:pPr>
              <w:spacing w:after="0"/>
              <w:rPr>
                <w:sz w:val="1"/>
                <w:szCs w:val="1"/>
                <w:color w:val="auto"/>
              </w:rPr>
            </w:pPr>
          </w:p>
        </w:tc>
      </w:tr>
      <w:tr>
        <w:trPr>
          <w:trHeight w:val="23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1"/>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195,451,596</w:t>
            </w:r>
          </w:p>
        </w:tc>
        <w:tc>
          <w:tcPr>
            <w:tcW w:w="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927,641</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(761,086)</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2,691</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169,265</w:t>
            </w:r>
          </w:p>
        </w:tc>
        <w:tc>
          <w:tcPr>
            <w:tcW w:w="0" w:type="dxa"/>
            <w:vAlign w:val="bottom"/>
          </w:tcPr>
          <w:p>
            <w:pPr>
              <w:spacing w:after="0"/>
              <w:rPr>
                <w:sz w:val="1"/>
                <w:szCs w:val="1"/>
                <w:color w:val="auto"/>
              </w:rPr>
            </w:pPr>
          </w:p>
        </w:tc>
      </w:tr>
      <w:tr>
        <w:trPr>
          <w:trHeight w:val="22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5,122</w:t>
            </w: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(26,786)</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222,906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Reclassification of warrants to equity</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w:t>
            </w:r>
          </w:p>
        </w:tc>
        <w:tc>
          <w:tcPr>
            <w:tcW w:w="0" w:type="dxa"/>
            <w:vAlign w:val="bottom"/>
          </w:tcPr>
          <w:p>
            <w:pPr>
              <w:spacing w:after="0"/>
              <w:rPr>
                <w:sz w:val="1"/>
                <w:szCs w:val="1"/>
                <w:color w:val="auto"/>
              </w:rPr>
            </w:pPr>
          </w:p>
        </w:tc>
      </w:tr>
      <w:tr>
        <w:trPr>
          <w:trHeight w:val="23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1"/>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195,674,502</w:t>
            </w:r>
          </w:p>
        </w:tc>
        <w:tc>
          <w:tcPr>
            <w:tcW w:w="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936,157</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(787,872)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2,787</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151,091</w:t>
            </w:r>
          </w:p>
        </w:tc>
        <w:tc>
          <w:tcPr>
            <w:tcW w:w="0" w:type="dxa"/>
            <w:vAlign w:val="bottom"/>
          </w:tcPr>
          <w:p>
            <w:pPr>
              <w:spacing w:after="0"/>
              <w:rPr>
                <w:sz w:val="1"/>
                <w:szCs w:val="1"/>
                <w:color w:val="auto"/>
              </w:rPr>
            </w:pPr>
          </w:p>
        </w:tc>
      </w:tr>
      <w:tr>
        <w:trPr>
          <w:trHeight w:val="22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(25,326)</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380,726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196,055,228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939,868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(813,198)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128,475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17"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(110,738)</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(115,424)</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11,933</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Gain on change in fair value of SAFE and warrant liabilities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(14,249)</w:t>
            </w:r>
          </w:p>
        </w:tc>
        <w:tc>
          <w:tcPr>
            <w:tcW w:w="0" w:type="dxa"/>
            <w:vAlign w:val="bottom"/>
          </w:tcPr>
          <w:p>
            <w:pPr>
              <w:spacing w:after="0"/>
              <w:rPr>
                <w:sz w:val="1"/>
                <w:szCs w:val="1"/>
                <w:color w:val="auto"/>
              </w:rPr>
            </w:pPr>
          </w:p>
        </w:tc>
      </w:tr>
      <w:tr>
        <w:trPr>
          <w:trHeight w:val="200"/>
        </w:trPr>
        <w:tc>
          <w:tcPr>
            <w:tcW w:w="8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Loss on change in fair value of the FPA Put Option and the Fixed Maturity Consideration liabilities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44,661</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Loss on change in fair value of Convertible Notes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8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Recoveries and provisions for losses on trade and other receivables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Depreciation of property, plant and equipment</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3,981</w:t>
            </w:r>
          </w:p>
        </w:tc>
        <w:tc>
          <w:tcPr>
            <w:tcW w:w="0" w:type="dxa"/>
            <w:vAlign w:val="bottom"/>
          </w:tcPr>
          <w:p>
            <w:pPr>
              <w:spacing w:after="0"/>
              <w:rPr>
                <w:sz w:val="1"/>
                <w:szCs w:val="1"/>
                <w:color w:val="auto"/>
              </w:rPr>
            </w:pPr>
          </w:p>
        </w:tc>
      </w:tr>
      <w:tr>
        <w:trPr>
          <w:trHeight w:val="200"/>
        </w:trPr>
        <w:tc>
          <w:tcPr>
            <w:tcW w:w="8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Amortization of discount on debt security investment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(933)</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Non-cash lease expense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w:t>
            </w:r>
          </w:p>
        </w:tc>
        <w:tc>
          <w:tcPr>
            <w:tcW w:w="0" w:type="dxa"/>
            <w:vAlign w:val="bottom"/>
          </w:tcPr>
          <w:p>
            <w:pPr>
              <w:spacing w:after="0"/>
              <w:rPr>
                <w:sz w:val="1"/>
                <w:szCs w:val="1"/>
                <w:color w:val="auto"/>
              </w:rPr>
            </w:pPr>
          </w:p>
        </w:tc>
      </w:tr>
      <w:tr>
        <w:trPr>
          <w:trHeight w:val="200"/>
        </w:trPr>
        <w:tc>
          <w:tcPr>
            <w:tcW w:w="8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Non-cash recognition of licensing revenue</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(1,700)</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Loss from equity method investees, net</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941</w:t>
            </w:r>
          </w:p>
        </w:tc>
        <w:tc>
          <w:tcPr>
            <w:tcW w:w="0" w:type="dxa"/>
            <w:vAlign w:val="bottom"/>
          </w:tcPr>
          <w:p>
            <w:pPr>
              <w:spacing w:after="0"/>
              <w:rPr>
                <w:sz w:val="1"/>
                <w:szCs w:val="1"/>
                <w:color w:val="auto"/>
              </w:rPr>
            </w:pPr>
          </w:p>
        </w:tc>
      </w:tr>
      <w:tr>
        <w:trPr>
          <w:trHeight w:val="200"/>
        </w:trPr>
        <w:tc>
          <w:tcPr>
            <w:tcW w:w="8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Net foreign exchange gain</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Changes in operating assets and liabilities: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receivable, net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1,088</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Contract assets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(6,488)</w:t>
            </w:r>
          </w:p>
        </w:tc>
        <w:tc>
          <w:tcPr>
            <w:tcW w:w="0" w:type="dxa"/>
            <w:vAlign w:val="bottom"/>
          </w:tcPr>
          <w:p>
            <w:pPr>
              <w:spacing w:after="0"/>
              <w:rPr>
                <w:sz w:val="1"/>
                <w:szCs w:val="1"/>
                <w:color w:val="auto"/>
              </w:rPr>
            </w:pPr>
          </w:p>
        </w:tc>
      </w:tr>
      <w:tr>
        <w:trPr>
          <w:trHeight w:val="200"/>
        </w:trPr>
        <w:tc>
          <w:tcPr>
            <w:tcW w:w="8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Accrued interest on debt investment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assets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(6,723)</w:t>
            </w:r>
          </w:p>
        </w:tc>
        <w:tc>
          <w:tcPr>
            <w:tcW w:w="0" w:type="dxa"/>
            <w:vAlign w:val="bottom"/>
          </w:tcPr>
          <w:p>
            <w:pPr>
              <w:spacing w:after="0"/>
              <w:rPr>
                <w:sz w:val="1"/>
                <w:szCs w:val="1"/>
                <w:color w:val="auto"/>
              </w:rPr>
            </w:pPr>
          </w:p>
        </w:tc>
      </w:tr>
      <w:tr>
        <w:trPr>
          <w:trHeight w:val="200"/>
        </w:trPr>
        <w:tc>
          <w:tcPr>
            <w:tcW w:w="8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payable and accrued salaries and wages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(1,484)</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Contract liabilities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200"/>
        </w:trPr>
        <w:tc>
          <w:tcPr>
            <w:tcW w:w="8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1,124</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(69,384)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(81,565)</w:t>
            </w:r>
          </w:p>
        </w:tc>
        <w:tc>
          <w:tcPr>
            <w:tcW w:w="0" w:type="dxa"/>
            <w:vAlign w:val="bottom"/>
          </w:tcPr>
          <w:p>
            <w:pPr>
              <w:spacing w:after="0"/>
              <w:rPr>
                <w:sz w:val="1"/>
                <w:szCs w:val="1"/>
                <w:color w:val="auto"/>
              </w:rPr>
            </w:pPr>
          </w:p>
        </w:tc>
      </w:tr>
      <w:tr>
        <w:trPr>
          <w:trHeight w:val="18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property, plant and equipment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(7,137)</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debt securities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(93,858)</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maturity of debt securities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additional interest in equity method investment</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Origination of related party loan</w:t>
            </w:r>
          </w:p>
        </w:tc>
        <w:tc>
          <w:tcPr>
            <w:tcW w:w="2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(5,212)</w:t>
            </w:r>
          </w:p>
        </w:tc>
        <w:tc>
          <w:tcPr>
            <w:tcW w:w="0" w:type="dxa"/>
            <w:vAlign w:val="bottom"/>
          </w:tcPr>
          <w:p>
            <w:pPr>
              <w:spacing w:after="0"/>
              <w:rPr>
                <w:sz w:val="1"/>
                <w:szCs w:val="1"/>
                <w:color w:val="auto"/>
              </w:rPr>
            </w:pPr>
          </w:p>
        </w:tc>
      </w:tr>
      <w:tr>
        <w:trPr>
          <w:trHeight w:val="198"/>
        </w:trPr>
        <w:tc>
          <w:tcPr>
            <w:tcW w:w="81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Net cash provided by/(used in) investing activities</w:t>
            </w: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14,130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(56,495)</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issue of equity instruments of the Company</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the Business Combination and PIPE, net of transaction expenses (Note 3)</w:t>
            </w:r>
          </w:p>
        </w:tc>
        <w:tc>
          <w:tcPr>
            <w:tcW w:w="2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213,381</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FPA prepayment</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(60,096)</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exercise of options</w:t>
            </w:r>
          </w:p>
        </w:tc>
        <w:tc>
          <w:tcPr>
            <w:tcW w:w="2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1,637</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Repurchase of equity instruments of the Company</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(7,650)</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Proceeds from issuance of Convertible Note, net</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40,224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147,272</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(decrease)/increase in cash, cash equivalents and restricted cash</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9,212</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83,710</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Effects of currency translation on cash, cash equivalents and restricted cash</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(852)</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60,967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92,070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1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Acquisition of property, plant and equipment under accounts payable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 additions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Reclassification of capitalized costs related to the business combination to equity</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1,514</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Cashless conversion of warrants on preferred shares</w:t>
            </w:r>
          </w:p>
        </w:tc>
        <w:tc>
          <w:tcPr>
            <w:tcW w:w="2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5,890</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Recognition of public and private warrant liabilities in the Business Combination</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4,624</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Reclassification of AM SAFE warrant to equity</w:t>
            </w:r>
          </w:p>
        </w:tc>
        <w:tc>
          <w:tcPr>
            <w:tcW w:w="2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Conversion of AM SAFE liability into common stock</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29,730</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 Legacy LanzaTech NZ, Inc. preferred stock and in-kind dividend into common stock</w:t>
            </w:r>
          </w:p>
        </w:tc>
        <w:tc>
          <w:tcPr>
            <w:tcW w:w="2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722,160</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Reclassification of Shortfall warrant to equity</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the accompanying Notes to the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Business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LanzaTech Global, Inc., formerly known as AMCI Acquisition Corp. II (“AMCI”) prior to February 8, 2023 (the “Closing Date”) was incorporated as a Delaware corporation on January 28, 2021.</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 March 8, 2022, LanzaTech NZ, Inc. ("Legacy LanzaTech") entered into an Agreement and Plan of Merger (the “Merger Agreement”) with AMCI and AMCI Merger Sub, Inc. a Delaware corporation and a wholly owned subsidiary of AMCI (“Merger Sub”). On February 8, 2023, Legacy LanzaTech completed its business combination with AMCI by which the Merger Sub merged with and into Legacy LanzaTech, with Legacy LanzaTech continuing as the surviving corporation and as a wholly owned subsidiary of AMCI (the “Business Combination”). The reporting entity is LanzaTech Global, Inc. and its subsidiaries (collectively referred to herein as “the Company”, "LanzaTech", “we”, “us”, “our”). For more information on the Business Combination, see </w:t>
      </w:r>
      <w:r>
        <w:rPr>
          <w:rFonts w:ascii="Times New Roman" w:cs="Times New Roman" w:eastAsia="Times New Roman" w:hAnsi="Times New Roman"/>
          <w:sz w:val="18"/>
          <w:szCs w:val="18"/>
          <w:i w:val="1"/>
          <w:iCs w:val="1"/>
          <w:color w:val="auto"/>
        </w:rPr>
        <w:t>Note 3 - Reverse Recapitalization</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headquartered in Skokie, Illinois, USA. The Company is a nature-based carbon refining company that transforms waste carbon into the chemical building blocks for consumer goods such as sustainable fuels, fabrics, and packaging that people use in their daily lives. The Company’s customers leverage its proven proprietary gas fermentation technology platform to conv0ert certain feedstock, including waste carbon gases, into sustainable fuels and chemicals such as ethanol. The Company performs related services such as feasibility studies, engineering services, and research and development ("R&amp;D") in biotechnology for commercial and government entities. The Company also purchases low carbon chemicals produced at customer facilities employing the Company’s technology and sells it under the brand name CarbonSmart. We have also been developing the capabilities to produce single cell protein as a primary product from our gas fermentation platform.</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September 30, 2024, licensees of the Company’s technology operate four commercial-scale waste-to-gas ethanol plants in China, one plant in India, and one plant in Belgium with others currently in development in various countries, compared to three commercial scale waste-to-gas ethanol plants in China as of September 30, 2023.</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Business Combination, the Company’s common stock trades under the ticker symbol “LNZA” and its Public Warrants trade under the ticker symbol “LNZAW” on the Nasdaq Stock Market. Prior to the consummation of the Business Combination, the Company’s common shares were listed on Nasdaq Stock Market under the symbol “AMCI” and the Public Warrants were listed on the Nasdaq Stock Market under the symbol “AMCI-W”. Public Warrants are defined and further described in </w:t>
      </w:r>
      <w:r>
        <w:rPr>
          <w:rFonts w:ascii="Times New Roman" w:cs="Times New Roman" w:eastAsia="Times New Roman" w:hAnsi="Times New Roman"/>
          <w:sz w:val="18"/>
          <w:szCs w:val="18"/>
          <w:i w:val="1"/>
          <w:iCs w:val="1"/>
          <w:color w:val="auto"/>
        </w:rPr>
        <w:t>Note 9 - Stockholders' equity</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amounts in these financial statements are presented in thousands, except for share and per share amounts.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generally accepted accounting principles for interim financial information, and Article 10 of Regulation S-X. Accordingly, they do not include all of the information and footnotes required by accounting principles generally accepted in the United States of America ("US GAAP"), the accounting principles, standards, and procedures adopted by the U.S. Securities and Exchange Commission, for complete financial statements. However, in the opinion of management, all adjustments (consisting of normal recurring accruals) have been made that are necessary for a fair presentation of the condensed consolidated financial statements for the interim periods. The condensed consolidated financial statements include the accounts of LanzaTech Global, Inc. and its wholly-owned consolidated subsidiaries. All intercompany transactions and balances have been eliminated in consolidation. For further information refer to the Consolidated Financial Statements and Footnotes thereto included in LanzaTech's Annual Report on Form 10-K for the year ended December 31,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is accounted for as a reverse recapitalization as Legacy LanzaTech was determined to be the accounting acquirer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based on the evaluation of the following facts and circumstances: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Legacy LanzaTech stockholders have the largest portion of voting rights (85.3% at the closing of the Business Combination) in the Company;</w:t>
      </w:r>
    </w:p>
    <w:p>
      <w:pPr>
        <w:spacing w:after="0" w:line="17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LanzaTech’s existing senior management team comprise a portion of senior management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primarily represent operations of Legacy LanzaTech; and</w:t>
      </w:r>
    </w:p>
    <w:p>
      <w:pPr>
        <w:spacing w:after="0" w:line="171" w:lineRule="exact"/>
        <w:rPr>
          <w:rFonts w:ascii="Times New Roman" w:cs="Times New Roman" w:eastAsia="Times New Roman" w:hAnsi="Times New Roman"/>
          <w:sz w:val="18"/>
          <w:szCs w:val="18"/>
          <w:color w:val="auto"/>
        </w:rPr>
      </w:pPr>
    </w:p>
    <w:p>
      <w:pPr>
        <w:ind w:left="660" w:right="4020" w:hanging="652"/>
        <w:spacing w:after="0" w:line="461" w:lineRule="auto"/>
        <w:tabs>
          <w:tab w:leader="none" w:pos="33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comparison with AMCI, Legacy LanzaTech has significantly more revenue and total assets. For more information on the Business Combination, see </w:t>
      </w:r>
      <w:r>
        <w:rPr>
          <w:rFonts w:ascii="Times New Roman" w:cs="Times New Roman" w:eastAsia="Times New Roman" w:hAnsi="Times New Roman"/>
          <w:sz w:val="17"/>
          <w:szCs w:val="17"/>
          <w:i w:val="1"/>
          <w:iCs w:val="1"/>
          <w:color w:val="auto"/>
        </w:rPr>
        <w:t>Note 3 - Reverse Recapitalization</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included in Note 2 of the Notes to our Audited Consolidated Financial Statements included in our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of previously issued financial statements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the Company’s consolidated financial statements for the year ended December 31, 2023, the Company determined it should have classified the FPA prepayment as a cash outflow from financing activities within the consolidated statement of cash flows, instead of a cash outflow from investing activities as previously reported. The Company has corrected this classification for the nine months ended September 30, 2023 within the consolidated statement of cash flows. The company determined the incorrect classification was not material to the previously filed quarterly report. There is no impact to the Company’s condensed consolidated balance sheets, condensed consolidated statements of operations and comprehensive loss, condensed consolidated statements of changes in redeemable convertible preferred stock and shareholders’ equity/deficit or cash flows from operating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GAAP and assuming the Company will continue as a going concern. The going concern basis of presentation assumes that the Company will continue in operation one year after the date these financial statements are issued and will be able to realize its assets and discharge its liabilities and commitments in the normal course of business. The Company had cash and cash equivalents of $58,741, short-term held-to-maturity debt investments of $28,121 and an accumulated deficit of $(942,610) as of September 30, 2024 and cash outflows from operations of $(69,384) and a net loss of $(110,738) for the nine months ended September 30, 2024.</w:t>
      </w:r>
    </w:p>
    <w:p>
      <w:pPr>
        <w:spacing w:after="0" w:line="1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historically funded its operations through issuances of equity securities and debt financing. Additionally, from time to time, management evaluates options to enhance the Company’s liquidity position, including the sale of securities, incurrence of debt, or other financing alternatives. Additionally, on August 6, 2024, the Company issued on a $40,000 Convertible Note as defined and further described in </w:t>
      </w:r>
      <w:r>
        <w:rPr>
          <w:rFonts w:ascii="Times New Roman" w:cs="Times New Roman" w:eastAsia="Times New Roman" w:hAnsi="Times New Roman"/>
          <w:sz w:val="18"/>
          <w:szCs w:val="18"/>
          <w:i w:val="1"/>
          <w:iCs w:val="1"/>
          <w:color w:val="auto"/>
        </w:rPr>
        <w:t>Note 16 - 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Based on the Company’s financial position as of the date the condensed consolidated financial statements were issued, the Company projects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able to cover its liquidity needs for the next twelve months.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include the fair value of equity awards granted to both employees and non-employees, valuation of common stock prior to the close of the Business Combination, revenue recognized over time, AM SAFE and Brookfield SAFE obligations, AM SAFE warrants, the FPA, the Convertible Note and the Private Placement Warrants. Private Placement Warrants are defined and further described in </w:t>
      </w:r>
      <w:r>
        <w:rPr>
          <w:rFonts w:ascii="Times New Roman" w:cs="Times New Roman" w:eastAsia="Times New Roman" w:hAnsi="Times New Roman"/>
          <w:sz w:val="18"/>
          <w:szCs w:val="18"/>
          <w:i w:val="1"/>
          <w:iCs w:val="1"/>
          <w:color w:val="auto"/>
        </w:rPr>
        <w:t>Note 9 - Stockholders' equity</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percentage of completion for the input method to recognize revenue over time for certain contracts with customers. Under the input method, the Company exercises judgment and estimation when selecting the most indicative measure of such performance.</w:t>
      </w:r>
    </w:p>
    <w:p>
      <w:pPr>
        <w:spacing w:after="0" w:line="94"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 xml:space="preserve">Most of our arrangements provide fixed consideration, however, when there are variable consideration elements, the Company estimates the transaction price and whether revenue should be constrained. Significant estimates and judgments are also used when a material right is provided to the customer. In these instances, the Company estimates the stand-alone selling price and apportions the total transaction price to this material right. Refer to the Revenue Recognition section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hereunder.</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facts and circumstances or additional information may result in revised estimates, and actual results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660" w:firstLine="648"/>
        <w:spacing w:after="0" w:line="312"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three months or less at the time of purchase to be cash equivalents. As of September 30, 2024 and December 31, 2023, the Company had $58,741 and $75,585 of cash and cash equivalents,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required to maintain a cash deposit with a bank which consists of collateral on certain travel and expense programs maintained by the bank. The following represents a reconciliation of Cash and cash equivalents in the condensed consolidated balance sheets to total cash, cash equivalents and restricted cash in the condensed consolidated statements of cash flows as of September 30, 2024 and December 31,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360" w:type="dxa"/>
            <w:vAlign w:val="bottom"/>
            <w:tcBorders>
              <w:bottom w:val="single" w:sz="8" w:color="auto"/>
            </w:tcBorders>
          </w:tcPr>
          <w:p>
            <w:pPr>
              <w:spacing w:after="0"/>
              <w:rPr>
                <w:sz w:val="17"/>
                <w:szCs w:val="17"/>
                <w:color w:val="auto"/>
              </w:rPr>
            </w:pPr>
          </w:p>
        </w:tc>
      </w:tr>
      <w:tr>
        <w:trPr>
          <w:trHeight w:val="200"/>
        </w:trPr>
        <w:tc>
          <w:tcPr>
            <w:tcW w:w="818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20" w:type="dxa"/>
            <w:vAlign w:val="bottom"/>
          </w:tcPr>
          <w:p>
            <w:pPr>
              <w:spacing w:after="0"/>
              <w:rPr>
                <w:sz w:val="17"/>
                <w:szCs w:val="17"/>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75,585</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(presented within Other current assets)</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16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On February 3, 2023, the Company entered into a Forward Purchase Agreement (“FPA”) with ACM ARRT H LLC (“ACM”). On the same date, ACM partially assigned its rights under the FPA to Vellar Opportunity Fund SPV LLC - Series 10 (“Vellar”). ACM and Vellar are together referred to as the “Purchasers.” Pursuant to the FPA, the Purchasers obtained 5,916,514 common shares (“Recycled Shares”) on the open market for approximately $10.16 per share (“Redemption Price”), and the purchase price of $60,096 was funded by the use of AMCI trust account proceeds as a partial prepayment (“Prepayment Amount”) for the FPA redemption 3 years from the date of the Business Combination (the “ FPA Maturity Date”). The FPA Maturity Date may be accelerated, at the Purchasers’ discretion, if the Company’s volume-weighted average share price is below $3.00 per share for any 50 trading days during a 60 consecutive trading-day period (the “VWAP Condition”) or if the Company is delisted. The Purchasers have the option to early terminate the arrangement in whole or in part by providing optional early termination notice to the Company (the “Optional Early Termination”). For those shares early terminated (the “Terminated Shares”), the Purchasers will owe the Company an amount equal to the Terminated Shares times the Redemption Price, which may be reduced in the case of certain dilutive events (“Reset Price”).</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At the FPA Maturity Date, the Company is obligated to pay the Purchasers an amount equal to the product of (1) 7,500,000 less the number of Terminated Shares multiplied by (2) $2.00 (the “Maturity Consideration”), which under the FPA is payable at the Company’s option in cash or shares of common stock valued at the average daily VWAP Price (as defined in the FPA) over the 30 scheduled trading days ending on the FPA Maturity Date. In addition to the Maturity Consideration, on the FPA Maturity Date, the Company is obligated to pay the Purchasers an amount equal to the product of (x) 500,000 and (y) the Redemption Price, totaling $5,079 (the “Share Consideration”), which under the FPA is payable in cash. If the Purchasers were to utilize their Optional Early Termination to terminate the FPA early in its entirety, neither the Maturity Consideration nor the Share Consideration would be due to the Purchasers.</w:t>
      </w:r>
    </w:p>
    <w:p>
      <w:pPr>
        <w:spacing w:after="0" w:line="2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Purchasers’ Optional Early Termination economically results in the prepaid forward contract being akin to a written put option with the Purchasers’ right to sell all or a portion of the 5,916,514 common shares to the Company. The Company is entitled over the 36-month maturity period to either a return of the prepayment or the underlying shares, which the Purchasers will determine at their sole discretion.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FPA consists of three freestanding financial instruments which are accounted for as follows:</w:t>
      </w:r>
    </w:p>
    <w:p>
      <w:pPr>
        <w:spacing w:after="0" w:line="171" w:lineRule="exact"/>
        <w:rPr>
          <w:sz w:val="20"/>
          <w:szCs w:val="20"/>
          <w:color w:val="auto"/>
        </w:rPr>
      </w:pPr>
    </w:p>
    <w:p>
      <w:pPr>
        <w:ind w:right="700" w:firstLine="8"/>
        <w:spacing w:after="0" w:line="282" w:lineRule="auto"/>
        <w:tabs>
          <w:tab w:leader="none" w:pos="1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prepayment of $60,547 (“Prepayment Amount”), which is accounted for as a reduction to equity to reflect the substance of the overall arrangement as a net repurchase of the Recycled Shares and sale of shares to the Purchasers pursuant to a subscription agreement.</w:t>
      </w:r>
    </w:p>
    <w:p>
      <w:pPr>
        <w:spacing w:after="0" w:line="107" w:lineRule="exact"/>
        <w:rPr>
          <w:rFonts w:ascii="Times New Roman" w:cs="Times New Roman" w:eastAsia="Times New Roman" w:hAnsi="Times New Roman"/>
          <w:sz w:val="18"/>
          <w:szCs w:val="18"/>
          <w:color w:val="auto"/>
        </w:rPr>
      </w:pPr>
    </w:p>
    <w:p>
      <w:pPr>
        <w:ind w:right="120" w:firstLine="8"/>
        <w:spacing w:after="0" w:line="266" w:lineRule="auto"/>
        <w:tabs>
          <w:tab w:leader="none" w:pos="1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Put Option” which includes both the in-substance written put option and the portion of the Maturity Consideration in excess of the Minimum Maturity Consideration (as defined below) (the “Variable Maturity Consideration”). The FPA Put Option is a derivative instrument the Company has recorded as a liability and measured at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fair value. The initial fair value of the FPA Put Option and subsequent changes in fair value of the FPA Put Option are recorded within Other expense, net on the condensed consolidated statements of operations and comprehensive loss.</w:t>
      </w:r>
    </w:p>
    <w:p>
      <w:pPr>
        <w:spacing w:after="0" w:line="108" w:lineRule="exact"/>
        <w:rPr>
          <w:sz w:val="20"/>
          <w:szCs w:val="20"/>
          <w:color w:val="auto"/>
        </w:rPr>
      </w:pPr>
    </w:p>
    <w:p>
      <w:pPr>
        <w:ind w:right="120" w:firstLine="8"/>
        <w:spacing w:after="0" w:line="255" w:lineRule="auto"/>
        <w:tabs>
          <w:tab w:leader="none" w:pos="1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“Fixed Maturity Consideration,” which includes the minimum portion of the Maturity Consideration (the “Minimum Maturity Consideration”), calculated as (1) 7,500,000 less 5,916,514 multiplied by (2) $2.00 or $3,167, and the Share Consideration. Both the Minimum Maturity Consideration and the Share Consideration are considered to be free-standing debt instruments and as both will be paid on the same terms and at the same time, these are accounted for together. The Company has elected to measure these using the FVO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Fixed Maturity Consideration is recorded as a long-term liability on the condensed consolidated balance sheets as of December 31, 2023, and was reclassified as described below as of September 30, 2024. The initial fair value of the Fixed Maturity Consideration and subsequent changes in fair value of the Fixed Maturity Consideration are recorded within Other expense, net on the condensed consolidated statements of operations and comprehensive loss.</w:t>
      </w:r>
    </w:p>
    <w:p>
      <w:pPr>
        <w:spacing w:after="0" w:line="121"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 xml:space="preserve">On July 22, 2024, Vellar purported to accelerate the FPA Maturity Date with respect to its portion of the FPA in connection with the satisfaction of the VWAP Condition. It subsequently delivered to the Company a notice of default under the FPA. On July 24, 2024, the Company filed suit against Vellar under the FPA, primarily in connection with Vellar’s sale of Recycled Shares (see </w:t>
      </w:r>
      <w:r>
        <w:rPr>
          <w:rFonts w:ascii="Times New Roman" w:cs="Times New Roman" w:eastAsia="Times New Roman" w:hAnsi="Times New Roman"/>
          <w:sz w:val="18"/>
          <w:szCs w:val="18"/>
          <w:i w:val="1"/>
          <w:iCs w:val="1"/>
          <w:color w:val="auto"/>
        </w:rPr>
        <w:t>Note 15 - Commitments and Contingencies)</w:t>
      </w:r>
      <w:r>
        <w:rPr>
          <w:rFonts w:ascii="Times New Roman" w:cs="Times New Roman" w:eastAsia="Times New Roman" w:hAnsi="Times New Roman"/>
          <w:sz w:val="18"/>
          <w:szCs w:val="18"/>
          <w:color w:val="auto"/>
        </w:rPr>
        <w:t xml:space="preserve">. As a result, the Company reclassified the Maturity Consideration and the Share Consideration to current liabilities on the condensed consolidated balance sheets, and the FPA Put Option excluding the Variable Maturity Consideration portion, which remains in long-term liabilities (refer to </w:t>
      </w:r>
      <w:r>
        <w:rPr>
          <w:rFonts w:ascii="Times New Roman" w:cs="Times New Roman" w:eastAsia="Times New Roman" w:hAnsi="Times New Roman"/>
          <w:sz w:val="18"/>
          <w:szCs w:val="18"/>
          <w:i w:val="1"/>
          <w:iCs w:val="1"/>
          <w:color w:val="auto"/>
        </w:rPr>
        <w:t>Note 10 - Forward Purchase Agreement)</w:t>
      </w:r>
      <w:r>
        <w:rPr>
          <w:rFonts w:ascii="Times New Roman" w:cs="Times New Roman" w:eastAsia="Times New Roman" w:hAnsi="Times New Roman"/>
          <w:sz w:val="18"/>
          <w:szCs w:val="18"/>
          <w:color w:val="auto"/>
        </w:rPr>
        <w:t xml:space="preserve">. In October 2024, ACM accelerated the FPA Maturity Date with respect to its portion of the FPA in connection with the satisfaction of the VWAP Condition, and the Company fully satisfied its obligation to ACM in accordance with the FPA’s provisions (see </w:t>
      </w:r>
      <w:r>
        <w:rPr>
          <w:rFonts w:ascii="Times New Roman" w:cs="Times New Roman" w:eastAsia="Times New Roman" w:hAnsi="Times New Roman"/>
          <w:sz w:val="18"/>
          <w:szCs w:val="18"/>
          <w:i w:val="1"/>
          <w:iCs w:val="1"/>
          <w:color w:val="auto"/>
        </w:rPr>
        <w:t>Note 16 - Subsequent Events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5, 2024, the Company entered into a Convertible Note Purchase Agreement (the “Convertible Note Purchase Agreement”) with an accredited investor (the “Investor”) pursuant to which the Company agreed to sell and issue to the Investor and other purchasers in a private placement transaction (the “Private Placement”) in one or more closings up to an aggregate principal amount of $150,000 of convertible notes. As of August 6, 2024, we issued and sold a principal amount of $40,150 of convertible notes to the Investor pursuant to the Convertible Note Purchase Agreement (the “Convertible Note”).</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elected the fair value option for the Convertible Note at issuance, under ASC 825. Under this option, the Convertible Note is initially recognized at its fair value as a long-term liability on the condensed consolidated balance sheets with subsequent changes in fair value reflected in earnings. Interest expense is not recognized separately; rather, the change in the fair value of the debt, inclusive of interest, market risk, and other factors affecting valuation, is recorded in the condensed consolidated statements of operations and comprehensive loss as a component of other income (expense). However, the change in fair value attributable to the change in the instrument-specific credit risk is presented separately in other comprehensive income. Transaction costs of $150 were expensed as incurred and included in the condensed consolidated statements of operations and comprehensive loss as a component of other income (expense). See </w:t>
      </w:r>
      <w:r>
        <w:rPr>
          <w:rFonts w:ascii="Times New Roman" w:cs="Times New Roman" w:eastAsia="Times New Roman" w:hAnsi="Times New Roman"/>
          <w:sz w:val="18"/>
          <w:szCs w:val="18"/>
          <w:i w:val="1"/>
          <w:iCs w:val="1"/>
          <w:color w:val="auto"/>
        </w:rPr>
        <w:t>Note 8 - Convertible Note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based on quoted prices in active markets for identical assets or liabilities that an entity has the ability to access;</w:t>
      </w:r>
    </w:p>
    <w:p>
      <w:pPr>
        <w:spacing w:after="0" w:line="171" w:lineRule="exact"/>
        <w:rPr>
          <w:sz w:val="20"/>
          <w:szCs w:val="20"/>
          <w:color w:val="auto"/>
        </w:rPr>
      </w:pPr>
    </w:p>
    <w:p>
      <w:pPr>
        <w:ind w:left="1140" w:right="40" w:hanging="8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based on quoted prices for similar assets or liabilities, quoted prices for identical assets or liabilities in markets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 and</w:t>
      </w:r>
    </w:p>
    <w:p>
      <w:pPr>
        <w:spacing w:after="0" w:line="117" w:lineRule="exact"/>
        <w:rPr>
          <w:sz w:val="20"/>
          <w:szCs w:val="20"/>
          <w:color w:val="auto"/>
        </w:rPr>
      </w:pPr>
    </w:p>
    <w:p>
      <w:pPr>
        <w:ind w:left="1140" w:right="68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Valuations based on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106"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fair value of the Company’s assets and liabilities, which qualify as financial instruments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approximates the carrying amounts represented in the accompanying unaudited condensed consolidated balance sheets, primarily due to their short-term nature, except for the warrant liability.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 from exchange transactions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grants from non-customers. The Company primarily earns revenue from services related to biorefining (formerly known as carbon capture and transformation) which includes techno-economic feasibility studies and basic engineering design of commercial plants, licensing of technologies and sales of biocatalysts (microbes and media). The other two revenue streams are: (1) joint development and contract research activities to develop and optimize novel biocatalysts, related processes and technologies, and (2) supply of chemical building blocks, such as ethanol, for sustainable products made using the Company’s proprietary technologies (referred to as CarbonSmart).</w:t>
      </w:r>
    </w:p>
    <w:p>
      <w:pPr>
        <w:spacing w:after="0" w:line="130"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Revenue is measured based on the consideration specified in a contract with a customer. The Company records taxes collected from customers and remitted to governmental authorities on a net basis. The Company’s payment terms are between 30-60 days and can vary by customer type and products offered. Management has evaluated the terms of the Company’s arrangements and determined that they do not contain significant financing components.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Biorefining</w:t>
      </w:r>
    </w:p>
    <w:p>
      <w:pPr>
        <w:spacing w:after="0" w:line="17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provides feasibility studies and basic design and engineering services used for detailed design, procurement, and construction of commercial plants that utilize the Company’s technologies, along with the sale of microbes and media. The services provided are recognized as a performance obligation satisfied over time. Revenue is recognized using the cost-to-cost input method for certain engineering services, or the labor hours input method as performance obligations are satisfied. Revenue for the sale of microbes and media is at a point in time, depending on when control transfers to the customer.</w:t>
      </w:r>
    </w:p>
    <w:p>
      <w:pPr>
        <w:spacing w:after="0" w:line="1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licenses intellectual property to generate recurring revenue, in the case of running royalties, or one-time revenue, in the case of fixed consideration royalties, when its customers deploy the Company’s technology in their biorefining plants. When licenses are considered to be distinct performance obligations, the recognition of revenue is dependent on the terms of the contract, which may include fixed consideration or royalties based on sales or usage, in which case the revenue is recognized when the subsequent sale or usage occurs or when the performance obligation to which some or all of the sales or usage-based royalty is allocated has been satisfied, whichever is later.</w:t>
      </w:r>
    </w:p>
    <w:p>
      <w:pPr>
        <w:spacing w:after="0" w:line="12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Grants received to perform engineering services, including cost reimbursement agreements, are assessed to determine if the agreement should be accounted for as an exchange transaction or a contribution. An agreement is accounted for as a contribution if the resource provider does not receive commensurate value in return for the assets transferred. Contributions are recognized as grant revenue as the qualifying costs related to the grant are incurred.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Development and Contract Research</w:t>
      </w:r>
    </w:p>
    <w:p>
      <w:pPr>
        <w:spacing w:after="0" w:line="17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performs R&amp;D services related to novel technologies and development of biocatalysts for commercial applications, mainly to produce fuels and chemicals. The Company engages in two main types of R&amp;D services – joint development agreements, and contract research, including projects with the U.S. Department of Energy and other US or foreign government agencies. Such services are recognized as a performance obligation satisfied over time. Revenue is recognized based on milestone completion, when payments are contingent upon the achievement of such milestones, or based on percentage-completion method when enforceable rights to payment exist. When no milestones or phases are clearly defined, management has determined that the cost incurred, input method, is an appropriate measure of progress towards complete satisfaction of the performance obligations under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estimates its variable consideration under the expected value method.</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Revenue is not recognized in advance of customer acceptance of a milestone when such acceptance is contractually required. Payments for R&amp;D services with no contractual payments are not due from customers until a technical report is submitted; therefore, a contract asset is recognized at milestone completion but prior to the submission of a technical report. The contract asset represents the Company’s right to consideration for the services performed at milestone completion. Occasionally, customers provide payments in advance of the Company providing services which creates 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right="2080"/>
        <w:spacing w:after="0" w:line="438" w:lineRule="auto"/>
        <w:rPr>
          <w:sz w:val="20"/>
          <w:szCs w:val="20"/>
          <w:color w:val="auto"/>
        </w:rPr>
      </w:pPr>
      <w:r>
        <w:rPr>
          <w:rFonts w:ascii="Times New Roman" w:cs="Times New Roman" w:eastAsia="Times New Roman" w:hAnsi="Times New Roman"/>
          <w:sz w:val="18"/>
          <w:szCs w:val="18"/>
          <w:color w:val="auto"/>
        </w:rPr>
        <w:t xml:space="preserve">contract liability for the Company. The contract liability represents the Company's obligation to provide services to a customer. </w:t>
      </w:r>
      <w:r>
        <w:rPr>
          <w:rFonts w:ascii="Times New Roman" w:cs="Times New Roman" w:eastAsia="Times New Roman" w:hAnsi="Times New Roman"/>
          <w:sz w:val="18"/>
          <w:szCs w:val="18"/>
          <w:i w:val="1"/>
          <w:iCs w:val="1"/>
          <w:color w:val="auto"/>
        </w:rPr>
        <w:t>CarbonSmart</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purchases ethanol from the customers who have deployed our proprietary technologies in their biorefining plants and sells it and its derivatives as CarbonSmart products. Revenue is recognized at a point in time when control transfers to our end customer, which varies depending on the shipping terms. The Company acts as the principal in such transactions and accordingly, recognizes revenue and cost of revenues on a gross basis. Amounts received for sales of CarbonSmart products are classified as Revenue from sales of CarbonSmart products in the condensed consolidated statements of operations and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Arrangements</w:t>
      </w:r>
    </w:p>
    <w:p>
      <w:pPr>
        <w:spacing w:after="0" w:line="17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certain partnership agreements that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which provides guidance on the presentation and disclosure of collaborative arrangements. Generally, the classification of the transaction under the collaborative arrangements is determined based on the nature of the contractual terms of the arrangement, along with the nature of the operations of the participants. The Company’s collaborative agreements generally include a provision of R&amp;D services related to novel technologies and biocatalysts. Amounts received for these services are classified as Revenue from collaborative arrangements in the consolidated statements of operations and comprehensive loss. The Company's R&amp;D services are a major part of the Company's ongoing operations and therefore ASC 606 is applied to recognize revenue.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R&amp;D, engineering, and other direct costs of services and goods related to revenue agreements with customers, related parties, and collaborative partners represent cost of revenue. Costs include both internal and third-party fixed and variable costs and include materials, supplies, labor, and fringe benefits.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expense as incurred costs associated with R&amp;D activities other than those related to revenue agreements or those eligible for capitalization under applicable guidance.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generated from the Company’s customers and grant providers from outside of the United States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was approximately 73% and 75%, respectively. Revenue generated from the Company’s customers and grant providers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of the United States for the nine months ended September 30, 2024 and 2023 was approximately 51% and 75%, respectively.</w:t>
      </w:r>
    </w:p>
    <w:p>
      <w:pPr>
        <w:spacing w:after="0" w:line="15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approximately 34% and 49%, respectively, of trade accounts receivable and unbilled accounts receivable were due from customers and grant providers located outside the United States. As of September 30, 2024 and December 31, 2023, the value of property, plant, and equipment outside the United States was immaterial.</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Company’s revenue by geographic region based on the contracting entities’ location is presented in </w:t>
      </w:r>
      <w:r>
        <w:rPr>
          <w:rFonts w:ascii="Times New Roman" w:cs="Times New Roman" w:eastAsia="Times New Roman" w:hAnsi="Times New Roman"/>
          <w:sz w:val="18"/>
          <w:szCs w:val="18"/>
          <w:i w:val="1"/>
          <w:iCs w:val="1"/>
          <w:color w:val="auto"/>
        </w:rPr>
        <w:t>Note 5 - Revenues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largest contracting entities represent 10% or greater of revenue and were as follows for the three and nine months ended September 30, 2024 and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7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780" w:type="dxa"/>
            <w:vAlign w:val="bottom"/>
            <w:gridSpan w:val="2"/>
          </w:tcPr>
          <w:p>
            <w:pPr>
              <w:spacing w:after="0"/>
              <w:rPr>
                <w:sz w:val="2"/>
                <w:szCs w:val="2"/>
                <w:color w:val="auto"/>
              </w:rPr>
            </w:pPr>
          </w:p>
        </w:tc>
        <w:tc>
          <w:tcPr>
            <w:tcW w:w="172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10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2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Improvements to Reportable Segment Disclosures (“ASU 2023-07”)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which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This ASU is effective for public companies with annual periods beginning after December 15, 2023, and interim periods within annual period beginning after December 15, 2024, with early adoption permitted. The Company is currently evaluating the impact that the adoption of the ASU will have on the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Disaggregation of Income Statement Expenses (“ASU 2024-03”)</w:t>
      </w:r>
    </w:p>
    <w:p>
      <w:pPr>
        <w:spacing w:after="0" w:line="24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In November 2024, the FASB issued ASU No. 2024-03, which introduces new disclosure requirements for reporting entities to provide disaggregated information on specific expense categories within relevant income statement captions. The standard aims to enhance transparency by requiring a breakdown of expenses such as purchases of inventory, employee compensation, depreciation, intangible asset amortization, and depletion. Additionally, the ASU mandates that certain gains, losses, and reconciling items that align with existing US GAAP disclosures be presented in a tabular format, allowing for a more detailed understanding of a company’s expense structure. The standard also requires narrative disclosure for selling expenses, including a description defined by management. This ASU is effective for public companies with annual periods beginning after December 15, 2026, and for interim periods within fiscal years beginning after December 15, 2027, with early adoption permitted. The Company is currently evaluating the impact of the adoption of the standard on our financial statement disclosures.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Reverse Recapitalization</w:t>
      </w:r>
    </w:p>
    <w:p>
      <w:pPr>
        <w:spacing w:after="0" w:line="173"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On February 8, 2023, Legacy LanzaTech and AMCI consummated the merger contemplated by the Merger Agreement (see </w:t>
      </w:r>
      <w:r>
        <w:rPr>
          <w:rFonts w:ascii="Times New Roman" w:cs="Times New Roman" w:eastAsia="Times New Roman" w:hAnsi="Times New Roman"/>
          <w:sz w:val="18"/>
          <w:szCs w:val="18"/>
          <w:i w:val="1"/>
          <w:iCs w:val="1"/>
          <w:color w:val="auto"/>
        </w:rPr>
        <w:t>Note 1 - 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Business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Immediately following the Business Combination, there were 196,222,737 shares of common stock outstanding with a par value of $0.0001. Additionally, there were outstanding warrants to purchase 12,574,200 shares of common stock.</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the Business Combination was accounted for as a reverse recapitalization in accordance with US GAAP. Under this method, while AMCI was the legal acquirer, it has been treated as the “acquired” company for financial reporting purposes. Accordingly, the Business Combination was treated as the equivalent of pre-combination Legacy LanzaTech issuing stock for the net assets of AMCI, accompanied by a recapitalization. The net assets of AMCI were stated at historical cost, with no goodwill or other intangible assets recorded. Operations prior to the Business Combination are those of pre-combination Legacy LanzaTech. Reported shares and earnings per share available to holders of the Company’s common stock and preferred shares, prior to the Business Combination, have been retroactively restated to reflect the exchange ratio established in the Business Combination (approximately one pre-combination Legacy LanzaTech share to 4.3747 of the Company’s shares).</w:t>
      </w:r>
    </w:p>
    <w:p>
      <w:pPr>
        <w:spacing w:after="0" w:line="13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Upon closing of the Business Combination, the shareholders of AMCI, including AMCI founders, were issued 10,398,374 shares of common stock of the Company. In connection with the closing, holders of 8,351,626 shares of common stock of AMCI were redeemed at a price per share of approximately $10.16. In connection with the Closing, 18,500,000 shares of common stock of the Company were issued to PIPE investors. 15,500,000 of those shares were issued at a price per share of $10.00. The remaining 3,000,000 shares were issued upon conversion of the AM SAFE liability. The Company incurred $7,223 in transaction costs relating to the Business Combination and recorded those costs against Additional paid-in capital in the condensed consolidated balance sheets.</w:t>
      </w:r>
    </w:p>
    <w:p>
      <w:pPr>
        <w:spacing w:after="0" w:line="1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number of shares of Class A common stock issued and outstanding immediately following the consummation of the Business Combination and PIPE financing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
        </w:trPr>
        <w:tc>
          <w:tcPr>
            <w:tcW w:w="37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LanzaTech shares</w:t>
            </w:r>
          </w:p>
        </w:tc>
        <w:tc>
          <w:tcPr>
            <w:tcW w:w="4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167,324,363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stockholders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10,398,374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shares</w:t>
            </w:r>
          </w:p>
        </w:tc>
        <w:tc>
          <w:tcPr>
            <w:tcW w:w="5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3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196,222,737</w:t>
            </w:r>
          </w:p>
        </w:tc>
        <w:tc>
          <w:tcPr>
            <w:tcW w:w="1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34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0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7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and PIPE financing to the condensed consolidated statements of cash flows for the period ended June 30,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Recapitalization</w:t>
            </w:r>
          </w:p>
        </w:tc>
      </w:tr>
      <w:tr>
        <w:trPr>
          <w:trHeight w:val="23"/>
        </w:trPr>
        <w:tc>
          <w:tcPr>
            <w:tcW w:w="9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Cash - AMCI trust account</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PIPE financing</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Transaction costs allocated to equity</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the Business Combination and PIPE financing</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213,381</w:t>
            </w:r>
          </w:p>
        </w:tc>
      </w:tr>
      <w:tr>
        <w:trPr>
          <w:trHeight w:val="21"/>
        </w:trPr>
        <w:tc>
          <w:tcPr>
            <w:tcW w:w="9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from the AMCI trust account is net of redemptions and the payment of pre-combination AMCI expenses.</w:t>
      </w:r>
    </w:p>
    <w:p>
      <w:pPr>
        <w:spacing w:after="0" w:line="165" w:lineRule="exact"/>
        <w:rPr>
          <w:sz w:val="20"/>
          <w:szCs w:val="20"/>
          <w:color w:val="auto"/>
        </w:rPr>
      </w:pPr>
    </w:p>
    <w:p>
      <w:pPr>
        <w:ind w:left="340" w:right="140" w:hanging="323"/>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and PIPE financing to the change in Additional paid-in capital on the condensed consolidated statement of changes in redeemable preferred stock and shareholders' equity/deficit: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Recapitalization</w:t>
            </w:r>
          </w:p>
        </w:tc>
      </w:tr>
      <w:tr>
        <w:trPr>
          <w:trHeight w:val="23"/>
        </w:trPr>
        <w:tc>
          <w:tcPr>
            <w:tcW w:w="9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AMCI trust account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 and Private Placement Warrants recorded on the Closing Date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PIPE financing</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the AM SAFE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 allocated to equity</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r>
      <w:tr>
        <w:trPr>
          <w:trHeight w:val="223"/>
        </w:trPr>
        <w:tc>
          <w:tcPr>
            <w:tcW w:w="9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236,973</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par value of shares held by PIPE investors and public stockholders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additional paid-in capital from recapitalization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236,970</w:t>
            </w:r>
          </w:p>
        </w:tc>
      </w:tr>
      <w:tr>
        <w:trPr>
          <w:trHeight w:val="20"/>
        </w:trPr>
        <w:tc>
          <w:tcPr>
            <w:tcW w:w="9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Loss Per Share</w:t>
      </w:r>
    </w:p>
    <w:p>
      <w:pPr>
        <w:spacing w:after="0" w:line="17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of the Company outstanding during the period. Diluted net loss per share is computed by giving effect to all common stock equivalents of the Company, including equity-classified share-based compensation, the Brookfield SAFE, and warrants, to the extent dilutive.</w:t>
      </w:r>
    </w:p>
    <w:p>
      <w:pPr>
        <w:spacing w:after="0" w:line="12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for the Company’s common stock (in thousands, except shares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for basic and diluted earnings per common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(115,424)</w:t>
            </w:r>
          </w:p>
        </w:tc>
      </w:tr>
      <w:tr>
        <w:trPr>
          <w:trHeight w:val="23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Unpaid cumulative dividends on preferred stock</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allocated to common shareholders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(119,541)</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75"/>
        </w:trPr>
        <w:tc>
          <w:tcPr>
            <w:tcW w:w="5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calculating net loss per share,</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50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197,773,376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195,869,537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197,499,156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169,797,443</w:t>
            </w:r>
          </w:p>
        </w:tc>
      </w:tr>
      <w:tr>
        <w:trPr>
          <w:trHeight w:val="248"/>
        </w:trPr>
        <w:tc>
          <w:tcPr>
            <w:tcW w:w="5020" w:type="dxa"/>
            <w:vAlign w:val="bottom"/>
            <w:tcBorders>
              <w:bottom w:val="single" w:sz="8" w:color="CCEEFF"/>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Net loss per common share, basic and diluted</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60" w:hanging="332"/>
        <w:spacing w:after="0" w:line="278"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periods in which the Company reports a net loss, all common stock equivalents are excluded from the calculation of diluted weighted average shares outstanding because of their anti-dilutive effect on loss per share.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2024 and 2023, common stock equivalents not included in the computation of loss per share because their effect would be antidilutive include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18,733,115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17,021,827</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7,769,726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7,042,901</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Brookfield SAFE</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16,657,686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16,657,686</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80,280,527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45,722,414</w:t>
            </w:r>
          </w:p>
        </w:tc>
        <w:tc>
          <w:tcPr>
            <w:tcW w:w="0" w:type="dxa"/>
            <w:vAlign w:val="bottom"/>
          </w:tcPr>
          <w:p>
            <w:pPr>
              <w:spacing w:after="0"/>
              <w:rPr>
                <w:sz w:val="1"/>
                <w:szCs w:val="1"/>
                <w:color w:val="auto"/>
              </w:rPr>
            </w:pPr>
          </w:p>
        </w:tc>
      </w:tr>
      <w:tr>
        <w:trPr>
          <w:trHeight w:val="21"/>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Revenues</w:t>
            </w: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50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disaggregated revenue in the following categories (in thousands):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060" w:type="dxa"/>
            <w:vAlign w:val="bottom"/>
          </w:tcPr>
          <w:p>
            <w:pPr>
              <w:spacing w:after="0"/>
              <w:rPr>
                <w:sz w:val="24"/>
                <w:szCs w:val="24"/>
                <w:color w:val="auto"/>
              </w:rPr>
            </w:pPr>
          </w:p>
        </w:tc>
        <w:tc>
          <w:tcPr>
            <w:tcW w:w="3120" w:type="dxa"/>
            <w:vAlign w:val="bottom"/>
            <w:gridSpan w:val="6"/>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4"/>
          </w:tcPr>
          <w:p>
            <w:pPr>
              <w:jc w:val="right"/>
              <w:ind w:right="332"/>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50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Types: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Licensing</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Pr>
          <w:p>
            <w:pPr>
              <w:spacing w:after="0"/>
              <w:rPr>
                <w:sz w:val="19"/>
                <w:szCs w:val="19"/>
                <w:color w:val="auto"/>
              </w:rPr>
            </w:pP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and other services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25,572</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Biorefining revenue</w:t>
            </w: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12,427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28,474</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Joint development agreements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research</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0" w:type="dxa"/>
            <w:vAlign w:val="bottom"/>
          </w:tcPr>
          <w:p>
            <w:pPr>
              <w:spacing w:after="0"/>
              <w:rPr>
                <w:sz w:val="1"/>
                <w:szCs w:val="1"/>
                <w:color w:val="auto"/>
              </w:rPr>
            </w:pPr>
          </w:p>
        </w:tc>
      </w:tr>
      <w:tr>
        <w:trPr>
          <w:trHeight w:val="223"/>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development and contract research revenue</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CarbonSmart product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70"/>
        </w:trPr>
        <w:tc>
          <w:tcPr>
            <w:tcW w:w="506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from partners in collaborative arrangements and from grant contributions which are included in the table above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60" w:type="dxa"/>
            <w:vAlign w:val="bottom"/>
          </w:tcPr>
          <w:p>
            <w:pPr>
              <w:spacing w:after="0"/>
              <w:rPr>
                <w:sz w:val="17"/>
                <w:szCs w:val="17"/>
                <w:color w:val="auto"/>
              </w:rPr>
            </w:pPr>
          </w:p>
        </w:tc>
        <w:tc>
          <w:tcPr>
            <w:tcW w:w="3120" w:type="dxa"/>
            <w:vAlign w:val="bottom"/>
            <w:gridSpan w:val="6"/>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80" w:type="dxa"/>
            <w:vAlign w:val="bottom"/>
          </w:tcPr>
          <w:p>
            <w:pPr>
              <w:spacing w:after="0"/>
              <w:rPr>
                <w:sz w:val="17"/>
                <w:szCs w:val="17"/>
                <w:color w:val="auto"/>
              </w:rPr>
            </w:pPr>
          </w:p>
        </w:tc>
        <w:tc>
          <w:tcPr>
            <w:tcW w:w="2780" w:type="dxa"/>
            <w:vAlign w:val="bottom"/>
            <w:gridSpan w:val="4"/>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98"/>
        </w:trPr>
        <w:tc>
          <w:tcPr>
            <w:tcW w:w="50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67"/>
        </w:trPr>
        <w:tc>
          <w:tcPr>
            <w:tcW w:w="50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Revenue from partners in collaborative agreements included in the</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development agreements above</w:t>
            </w: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184"/>
        </w:trPr>
        <w:tc>
          <w:tcPr>
            <w:tcW w:w="5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Revenue from grant contributions included in Engineering and other</w:t>
            </w: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above</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16,725</w:t>
            </w:r>
          </w:p>
        </w:tc>
      </w:tr>
      <w:tr>
        <w:trPr>
          <w:trHeight w:val="904"/>
        </w:trPr>
        <w:tc>
          <w:tcPr>
            <w:tcW w:w="5060" w:type="dxa"/>
            <w:vAlign w:val="bottom"/>
          </w:tcPr>
          <w:p>
            <w:pPr>
              <w:spacing w:after="0"/>
              <w:rPr>
                <w:sz w:val="24"/>
                <w:szCs w:val="24"/>
                <w:color w:val="auto"/>
              </w:rPr>
            </w:pPr>
          </w:p>
        </w:tc>
        <w:tc>
          <w:tcPr>
            <w:tcW w:w="9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50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disaggregation of the Company’s revenues by customer location for the three and nine months ended September 30, 2024 and 2023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40" w:type="dxa"/>
            <w:vAlign w:val="bottom"/>
          </w:tcPr>
          <w:p>
            <w:pPr>
              <w:spacing w:after="0"/>
              <w:rPr>
                <w:sz w:val="17"/>
                <w:szCs w:val="17"/>
                <w:color w:val="auto"/>
              </w:rPr>
            </w:pPr>
          </w:p>
        </w:tc>
        <w:tc>
          <w:tcPr>
            <w:tcW w:w="3140" w:type="dxa"/>
            <w:vAlign w:val="bottom"/>
            <w:gridSpan w:val="6"/>
          </w:tcPr>
          <w:p>
            <w:pPr>
              <w:ind w:left="3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60" w:type="dxa"/>
            <w:vAlign w:val="bottom"/>
          </w:tcPr>
          <w:p>
            <w:pPr>
              <w:spacing w:after="0"/>
              <w:rPr>
                <w:sz w:val="17"/>
                <w:szCs w:val="17"/>
                <w:color w:val="auto"/>
              </w:rPr>
            </w:pPr>
          </w:p>
        </w:tc>
        <w:tc>
          <w:tcPr>
            <w:tcW w:w="2800" w:type="dxa"/>
            <w:vAlign w:val="bottom"/>
            <w:gridSpan w:val="4"/>
          </w:tcPr>
          <w:p>
            <w:pPr>
              <w:jc w:val="right"/>
              <w:ind w:right="33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98"/>
        </w:trPr>
        <w:tc>
          <w:tcPr>
            <w:tcW w:w="50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94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Africa (EMEA)</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25,088</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48"/>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changes in contract assets and liabilities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Current Contract</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Current Contract</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Non-current Contract</w:t>
            </w:r>
          </w:p>
        </w:tc>
      </w:tr>
      <w:tr>
        <w:trPr>
          <w:trHeight w:val="209"/>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Liabilities</w:t>
            </w:r>
          </w:p>
        </w:tc>
        <w:tc>
          <w:tcPr>
            <w:tcW w:w="260" w:type="dxa"/>
            <w:vAlign w:val="bottom"/>
          </w:tcPr>
          <w:p>
            <w:pPr>
              <w:spacing w:after="0"/>
              <w:rPr>
                <w:sz w:val="18"/>
                <w:szCs w:val="18"/>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Liabilities</w:t>
            </w:r>
          </w:p>
        </w:tc>
      </w:tr>
      <w:tr>
        <w:trPr>
          <w:trHeight w:val="230"/>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unbilled accounts receivable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Increases due to consideration received</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Unbilled accounts receivable recognized in trade receivables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on revaluation on currency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from long-term to short-term</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 to revenue as a result of performance obligations satisfied</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due to LanzaJet sublicense</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decrease in contract assets was mostly due to billing certain customers and government entities for engineering and other services that were previously recorded as contract assets. As of September 30, 2024 and December 31, 2023 the Company had $14,628 and $11,157, respectively, of billed accounts receivable, net of allowance.</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increase in current contract liabilities was primarily due to the recognition of the portion of payments in shares received in advance from LanzaJet for the remaining sublicensing performance obligation (refer to </w:t>
      </w:r>
      <w:r>
        <w:rPr>
          <w:rFonts w:ascii="Times New Roman" w:cs="Times New Roman" w:eastAsia="Times New Roman" w:hAnsi="Times New Roman"/>
          <w:sz w:val="18"/>
          <w:szCs w:val="18"/>
          <w:i w:val="1"/>
          <w:iCs w:val="1"/>
          <w:color w:val="auto"/>
        </w:rPr>
        <w:t>Note 6 - Investments</w:t>
      </w:r>
      <w:r>
        <w:rPr>
          <w:rFonts w:ascii="Times New Roman" w:cs="Times New Roman" w:eastAsia="Times New Roman" w:hAnsi="Times New Roman"/>
          <w:sz w:val="18"/>
          <w:szCs w:val="18"/>
          <w:color w:val="auto"/>
        </w:rPr>
        <w:t xml:space="preserve"> for further details), while the decrease in non-current contract liabilities is primarily due to the reclassification to current liabilities for performance obligations that will be completed within one year. The Company expects to recognize the amounts classified as non-current within two to three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73"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Transaction price allocated to the remaining performance obligations represents contracted revenue that has not yet been recognized, including unearned revenue to be recognized in future periods. Transaction price allocated to remaining performance obligations is influenced by factors such as project size, duration, contract modifications, and customer-specific acceptance rights. As of September 30, 2024, we had approximately $39,620 in contracted revenue remaining to be recognized, of which $17,368 is expected to be recognized in the next twelve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HTM Debt Securities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Held to maturity (“HTM”) debt securities are comprised of U.S. Treasury bills and corporate debt securities. HTM debt securities are classified as short-term or long-term based upon the contractual maturity of the underlying investment.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right="54"/>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2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1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Accrued</w:t>
            </w:r>
          </w:p>
        </w:tc>
        <w:tc>
          <w:tcPr>
            <w:tcW w:w="0" w:type="dxa"/>
            <w:vAlign w:val="bottom"/>
          </w:tcPr>
          <w:p>
            <w:pPr>
              <w:spacing w:after="0"/>
              <w:rPr>
                <w:sz w:val="1"/>
                <w:szCs w:val="1"/>
                <w:color w:val="auto"/>
              </w:rPr>
            </w:pPr>
          </w:p>
        </w:tc>
      </w:tr>
      <w:tr>
        <w:trPr>
          <w:trHeight w:val="162"/>
        </w:trPr>
        <w:tc>
          <w:tcPr>
            <w:tcW w:w="5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4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vMerge w:val="continue"/>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bills and notes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 securities due within a year</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28,121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HTM Debt Securities</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28,121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5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right="54"/>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2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1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Accrued</w:t>
            </w:r>
          </w:p>
        </w:tc>
        <w:tc>
          <w:tcPr>
            <w:tcW w:w="0" w:type="dxa"/>
            <w:vAlign w:val="bottom"/>
          </w:tcPr>
          <w:p>
            <w:pPr>
              <w:spacing w:after="0"/>
              <w:rPr>
                <w:sz w:val="1"/>
                <w:szCs w:val="1"/>
                <w:color w:val="auto"/>
              </w:rPr>
            </w:pPr>
          </w:p>
        </w:tc>
      </w:tr>
      <w:tr>
        <w:trPr>
          <w:trHeight w:val="162"/>
        </w:trPr>
        <w:tc>
          <w:tcPr>
            <w:tcW w:w="5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4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vMerge w:val="continue"/>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bills and notes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Yankee debt securities</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 securities due within a year</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45,159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gridSpan w:val="3"/>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HTM Debt Securities</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regularly reviews held-to-maturity securities for declines in fair values that are determined to be credit related. As of December 31, 2023 and September 30, 2024, the Company did not have an allowance for credit losses related to HTM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equity investments consisted of the following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60" w:type="dxa"/>
            <w:vAlign w:val="bottom"/>
            <w:tcBorders>
              <w:bottom w:val="single" w:sz="8" w:color="auto"/>
            </w:tcBorders>
          </w:tcPr>
          <w:p>
            <w:pPr>
              <w:spacing w:after="0"/>
              <w:rPr>
                <w:sz w:val="18"/>
                <w:szCs w:val="18"/>
                <w:color w:val="auto"/>
              </w:rPr>
            </w:pPr>
          </w:p>
        </w:tc>
      </w:tr>
      <w:tr>
        <w:trPr>
          <w:trHeight w:val="211"/>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Pr>
          <w:p>
            <w:pPr>
              <w:spacing w:after="0"/>
              <w:rPr>
                <w:sz w:val="18"/>
                <w:szCs w:val="18"/>
                <w:color w:val="auto"/>
              </w:rPr>
            </w:pPr>
          </w:p>
        </w:tc>
        <w:tc>
          <w:tcPr>
            <w:tcW w:w="166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74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 in LanzaJet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r>
      <w:tr>
        <w:trPr>
          <w:trHeight w:val="229"/>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Equity Security Investment in SGLT</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LanzaJet</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May 13, 2020, the Company contributed $15,000 in intellectual property in exchange for a 37.5% interest (“Original Interest”) of LanzaJet in connection with an investment agreement (“Investment Agreement”). The Company accounts for the transaction as a revenue transaction with a customer under ASC 606. The licensing and technical support services provided are recognized as a single combined performance obligation satisfied over the expected period of those services, beginning May 2020 through December 2025.</w:t>
      </w:r>
    </w:p>
    <w:p>
      <w:pPr>
        <w:spacing w:after="0" w:line="126"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7"/>
          <w:szCs w:val="17"/>
          <w:color w:val="auto"/>
        </w:rPr>
        <w:t>Under the Investment Agreement, LanzaTech has a right to receive up to an aggregate of 45,000,000 additional LanzaJet shares for no additional consideration if (i) certain other LanzaJet shareholders make additional investments for the funding of the development and operation of commercial facilities that would sublicense the relevant fuel production technology from LanzaJet, or (ii) a non-LanzaJet shareholder sublicenses the Company’s technology through collaboration with LanzaJet, and LanzaTech and the LanzaJet board of directors waive the requirement on a pro-rata basis.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18, 2024, LanzaJet issued to LanzaTech 15,000,000 shares related to the sublicensing of the Company’s technology to a non-LanzaJet shareholder, as the first tranche of the additional consideration per the Investment Agreement. This was accounted for as revenue from contract modification with a cumulative catch-up, net of intra-entity profit elimination, and as an increase in our equity method investment in LanzaJet. As a result, LanzaTech’s ownership in LanzaJet increased to 37.01%.</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recognized revenue from the Investment Agreement of $1,086 and $565 respectively, net of intra-entity profit elimination. During the nine months ended September 30, 2024 and September 30, 2023, the Company recognized revenue from this arrangement of $10,207 and $1,701 respectively, net of intra-entity profit elimination and has associated deferred revenue of $6,719 and $5,375, as of September 30, 2024 and December 31, 2023, respectively. Net intra-entity profits related to this arrangement were $257 and $107 for the three months ended September 30, 2024 and 2023 and $3,450 and $313 for the nine months ended September 30, 2024 and 2023, respectively. Intra-entity profits are amortized over a 15-year period through 2034.</w:t>
      </w:r>
    </w:p>
    <w:p>
      <w:pPr>
        <w:spacing w:after="0" w:line="11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 xml:space="preserve">In connection with the LanzaJet Note Purchase Agreement as described in </w:t>
      </w:r>
      <w:r>
        <w:rPr>
          <w:rFonts w:ascii="Times New Roman" w:cs="Times New Roman" w:eastAsia="Times New Roman" w:hAnsi="Times New Roman"/>
          <w:sz w:val="18"/>
          <w:szCs w:val="18"/>
          <w:i w:val="1"/>
          <w:iCs w:val="1"/>
          <w:color w:val="auto"/>
        </w:rPr>
        <w:t>Note 14 - Related Party Transactions</w:t>
      </w:r>
      <w:r>
        <w:rPr>
          <w:rFonts w:ascii="Times New Roman" w:cs="Times New Roman" w:eastAsia="Times New Roman" w:hAnsi="Times New Roman"/>
          <w:sz w:val="18"/>
          <w:szCs w:val="18"/>
          <w:color w:val="auto"/>
        </w:rPr>
        <w:t>, LanzaJet issued warrants that are exercisable for $0.01 by the holder when the related funds are drawn by LanzaJet. The warrants held by LanzaTech and other lenders meet the accounting criteria for in-substance common stock at the time the related note commitment is drawn by LanzaJet and the warrants become exercisable. LanzaTech committed proportionally fewer funds, and therefore received proportionally fewer warrants than the other investors. Accordingly, when warrants held by other investors become exercisable (and meet the criteria for in-substance common stock), LanzaTech’s ownership is diluted. The Company recorded gain on dilution of $188 and $502 in the nine months ended September 30, 2024 and 2023, respectively. LanzaTech’s ownership is subject to further dilution if LanzaJet draws additional funds committed in the LanzaJet Note Purchase Agreement and the remaining warrants are exercisable by the holders. During the three months ended September 30, 2024, LanzaJet drew additional funds committed in the LanzaJet Note Purchase Agreement and as a result our ownership in LanzaJet was diluted to 36.79%.</w:t>
      </w:r>
    </w:p>
    <w:p>
      <w:pPr>
        <w:spacing w:after="0" w:line="1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carrying value of our equity method investment in LanzaJet as of September 30, 2024 and December 31, 2023 was approximately $2,900 less than our proportionate share of our equity method investees’ book values, for both periods. The basis differences are largely the result of a difference in the timing of recognition of variable consideration to which we are entitled in exchange for our contribution of intellectual property to LanzaJet as discussed above. The variable consideration we may receive will be in the form of additional ownership interests and the majority of the basis difference will be reversed in connection with recognition of that variable consideration.</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a sublicense agreement to LanzaJet under our license agreement with Battelle Memorial Institute (“Battelle”), LanzaTech remains responsible for any failure by LanzaJet to pay royalties due to Battelle. The fair value of LanzaTech’s obligation under this guarantee was immaterial as of September 30, 2024 and December 31,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SGLT</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September 28, 2011, the Company contributed RMB 25,800 (approx. $4,000) in intellectual property in exchange for 30% of the registered capital of Beijing Shougang LanzaTech Technology Co., LTD (“SGLT”). Since then, the Company’s interest in SGLT’s registered capital decreased to approximately 9.31% as a result of the investment by new investors. The Company accounts for its investment in equity securities of SGLT using the alternative measurement principals as permitted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because SGLT's fair value is not readily determinable. For the three and nine months ended September 30, 2024 and 2023, there was no change in the recorded amount of the investment in SGLT.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there were no impairments of equity investments. During the three and nine months ended</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 xml:space="preserve">September 30, 2024 and 2023, the Company received no dividends from equity investments. See </w:t>
      </w:r>
      <w:r>
        <w:rPr>
          <w:rFonts w:ascii="Times New Roman" w:cs="Times New Roman" w:eastAsia="Times New Roman" w:hAnsi="Times New Roman"/>
          <w:sz w:val="18"/>
          <w:szCs w:val="18"/>
          <w:i w:val="1"/>
          <w:iCs w:val="1"/>
          <w:color w:val="auto"/>
        </w:rPr>
        <w:t>Note 14 - Related Party Transactions</w:t>
      </w:r>
      <w:r>
        <w:rPr>
          <w:rFonts w:ascii="Times New Roman" w:cs="Times New Roman" w:eastAsia="Times New Roman" w:hAnsi="Times New Roman"/>
          <w:sz w:val="18"/>
          <w:szCs w:val="18"/>
          <w:color w:val="auto"/>
        </w:rPr>
        <w:t>, for information on revenues, accounts receivable, contract assets and purchases and open accounts payable with its equity investments.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SAFE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Brookfield SAFE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78"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8"/>
          <w:szCs w:val="18"/>
          <w:color w:val="auto"/>
        </w:rPr>
        <w:t xml:space="preserve">On October 2, 2022, the Company entered into a Simple Agreement for Future Equity (“SAFE”) with Brookfield (the "Brookfield SAFE"). Under the Brookfield SAFE, the Company agreed to issue to Brookfield the right to certain shares of its capital stock, in exchange for the payment of $50,000 (the “Initial Purchase Amount”). The Brookfield SAFE is legal form debt. Management has elected to apply the Fair Value Option ("FVO")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As the Brookfield SAFE is accounted for under the FVO, the Brookfield SAFE is classified as a mark-to-market liability</w:t>
      </w:r>
    </w:p>
    <w:p>
      <w:pPr>
        <w:ind w:right="60"/>
        <w:spacing w:after="0" w:line="260" w:lineRule="auto"/>
        <w:rPr>
          <w:sz w:val="20"/>
          <w:szCs w:val="20"/>
          <w:color w:val="auto"/>
        </w:rPr>
      </w:pPr>
      <w:r>
        <w:rPr>
          <w:rFonts w:ascii="Times New Roman" w:cs="Times New Roman" w:eastAsia="Times New Roman" w:hAnsi="Times New Roman"/>
          <w:sz w:val="18"/>
          <w:szCs w:val="18"/>
          <w:color w:val="auto"/>
        </w:rPr>
        <w:t>On the fifth anniversary of the Brookfield SAFE, LanzaTech is required to repay in cash the Initial Purchase Amount less any Non-Repayable Amount (the “Remaining Amount”), as well as interest on such Remaining Amount in the high single digits, compounded annually.</w:t>
      </w:r>
    </w:p>
    <w:p>
      <w:pPr>
        <w:spacing w:after="0" w:line="1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For each $50,000 of aggregate equity funding required for qualifying projects presented to Brookfield in accordance with the Brookfield Framework Agreement (discussed below), the Remaining Amount will be reduced by $5,000 (such cumulative reductions the “Non-Repayable Amount”) and converted into LanzaTech Shares at $10.00 per share, which was the share price paid by the PIPE investors in the Business Combination. Interest on the corresponding amount will be forgiven. Each project presented must meet certain criteria in order to be considered a qualifying project.</w:t>
      </w:r>
    </w:p>
    <w:p>
      <w:pPr>
        <w:spacing w:after="0" w:line="12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Additionally, Brookfield may, at any time at its option, convert all or a portion of the Initial Purchase Amount less any amount that has already been converted or repaid into shares of LanzaTech capital stock at the same $10.00 per share price.</w:t>
      </w:r>
    </w:p>
    <w:p>
      <w:pPr>
        <w:spacing w:after="0" w:line="10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Brookfield SAFE has not yet converted as a qualifying financing has not yet occurred and no qualified project investments have been presented to Brookfield as of September 30, 2024. As of September 30, 2024 and December 31, 2023, the fair value of the Brookfield SAFE was $9,550 and $25,150 respectively and was recorded within Brookfield SAFE liability on the condensed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Brookfield Framework Agreement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 2022, LanzaTech entered into a framework agreement with Brookfield (the “Brookfield Framework Agreement”). Under such agreement, LanzaTech agreed to exclusively offer Brookfield the opportunity to acquire or invest in certain projects to construct commercial production facilities employing carbon capture and transformation technology in the U.S., the European Union, the United Kingdom, Canada or Mexico for which LanzaTech is solely or jointly responsible for obtaining or providing equity financing, subject to certain exceptions. LanzaTech agreed to present Brookfield with projects that over the term of the agreement require equity funding of at least $500,000 in the aggregate. With respect to projects acquired by Brookfield, LanzaTech is entitled to a percentage of free cash flow generated by such projects determined in accordance with a hurdle-based return waterfall. Brookfield has no obligation under the Brookfield Framework Agreement to invest in any of the projects. There have been no investments in projects as of September 30, 2024 or 2023.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Convertible Note</w:t>
      </w:r>
    </w:p>
    <w:p>
      <w:pPr>
        <w:spacing w:after="0" w:line="162" w:lineRule="exact"/>
        <w:rPr>
          <w:sz w:val="20"/>
          <w:szCs w:val="20"/>
          <w:color w:val="auto"/>
        </w:rPr>
      </w:pPr>
    </w:p>
    <w:p>
      <w:pPr>
        <w:jc w:val="both"/>
        <w:ind w:right="220"/>
        <w:spacing w:after="0"/>
        <w:rPr>
          <w:sz w:val="20"/>
          <w:szCs w:val="20"/>
          <w:color w:val="auto"/>
        </w:rPr>
      </w:pPr>
      <w:r>
        <w:rPr>
          <w:rFonts w:ascii="Times New Roman" w:cs="Times New Roman" w:eastAsia="Times New Roman" w:hAnsi="Times New Roman"/>
          <w:sz w:val="18"/>
          <w:szCs w:val="18"/>
          <w:color w:val="auto"/>
        </w:rPr>
        <w:t>On August 5, 2024, the Company entered into the Convertible Note Purchase Agreement pursuant to which the Company agreed to sell and issue to the Investor and other purchasers in a private placement transaction in one or more closings up to an aggregate principal amount of $150,000 of convertible notes. As of August 6, 2024, we issued and sold $40,150 principal amount of convertible notes to the Investor pursuant to the Convertible Note Purchase Agreement. The gross proceeds from the initial closing are approximately $40,000, before deducting estimated offering expenses.</w:t>
      </w:r>
    </w:p>
    <w:p>
      <w:pPr>
        <w:spacing w:after="0" w:line="21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Convertible Note bears interest at a fixed rate of 8.00% per annum, which interest will be added to the outstanding principal amount of the Convertible Note on the last day of the applicable interest period (beginning on the date of issuance and ending on and including the earlier of (x) the anniversary date of such issuance and (y) the maturity date, the “Interest Period”); provided, however, that the Company is permitted to pay all interest payable during an Interest Period in cash pursuant to prior written notice to the Convertible Note holder.</w:t>
      </w:r>
    </w:p>
    <w:p>
      <w:pPr>
        <w:spacing w:after="0" w:line="20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Convertible Note will mature on August 6, 2029 (the “Convertible Note Maturity Date”), unless earlier redeemed or converted in accordance with its terms. The Convertible Note is subject to mandatory conversion for shares of the Company’s common stock, par value $0.0001 per share, upon the completion by the Company of an equity financing prior to the Convertible Note Maturity Date that results in the Company receiving minimum gross proceeds in an amount that is equal to the greater of (i) $40,000 and (ii) 50% of the total principal amount under the outstanding convertible notes immediately following the final closing under the Convertible Note Purchase Agreement (a “Qualified Equity Financing”) at a conversion price equal to the lower of (i) the lowest per-share selling price per share in the Qualified Equity Financing, less a 10% discount and (ii) the Valuation Cap (as defined below). The Convertible Note is convertible at the option of the holder upon the completion by the Company of an equity financing prior to the Convertible Note Maturity Date that does not meet the definition of a Qualified Equity Financing (a “Non-Qualified Equity Financing”) at a conversion price equal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7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 xml:space="preserve">the lower of (i) the lowest per-share selling price in the Non-Qualified Equity Financing and (ii) the Valuation Cap. The Convertible Note is also convertible at the option of the holder any time prior to the Convertible Note Maturity Date at a conversion price equal to the Valuation Cap. The “Valuation Cap” is $1.25 per share), and (ii) with respect to a Convertible Note issued at any closing subsequent to the initial closing under the Convertible Note Purchase Agreement, the price per share equal to the </w:t>
      </w:r>
      <w:r>
        <w:rPr>
          <w:rFonts w:ascii="Times New Roman" w:cs="Times New Roman" w:eastAsia="Times New Roman" w:hAnsi="Times New Roman"/>
          <w:sz w:val="18"/>
          <w:szCs w:val="18"/>
          <w:i w:val="1"/>
          <w:iCs w:val="1"/>
          <w:color w:val="auto"/>
        </w:rPr>
        <w:t>greater</w:t>
      </w:r>
      <w:r>
        <w:rPr>
          <w:rFonts w:ascii="Times New Roman" w:cs="Times New Roman" w:eastAsia="Times New Roman" w:hAnsi="Times New Roman"/>
          <w:sz w:val="18"/>
          <w:szCs w:val="18"/>
          <w:color w:val="auto"/>
        </w:rPr>
        <w:t xml:space="preserve"> of (a) $1.56 and (b) the closing price per share of the Company’s common stock on the date prior to such closing. The Valuation Cap is subject to adjustment based on the Company’s holdings in LanzaJet, and the conversion price in all cases is subject to adjustment for stock splits, reclassifications, redesignations, subdivisions, recapitalizations, and dividends. As of the date of this filing no Qualified Equity Financing nor Non-Qualifying Financing events have occurred.</w:t>
      </w:r>
    </w:p>
    <w:p>
      <w:pPr>
        <w:spacing w:after="0" w:line="19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The Convertible Note may not be prepaid or redeemed by the Company, either in whole or in part, without the consent of the holder, provided that the Company may redeem and prepay the Convertible Note without such consent (i) until August 6, 2025, in an amount equal to one and one half times the redeemed principal amount thereof; (ii) between August 7, 2025 and August 6, 2027, in an amount equal to two times the redeemed principal amount; and</w:t>
      </w:r>
    </w:p>
    <w:p>
      <w:pPr>
        <w:spacing w:after="0" w:line="2" w:lineRule="exact"/>
        <w:rPr>
          <w:sz w:val="20"/>
          <w:szCs w:val="20"/>
          <w:color w:val="auto"/>
        </w:rPr>
      </w:pPr>
    </w:p>
    <w:p>
      <w:pPr>
        <w:ind w:right="320" w:firstLine="8"/>
        <w:spacing w:after="0" w:line="243"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August 6, 2027, in an amount equal to three times the redeemed principal amount; in all such cases, any and all accrued and unpaid interest to have been repaid in connection with the redemption.</w:t>
      </w:r>
    </w:p>
    <w:p>
      <w:pPr>
        <w:spacing w:after="0" w:line="22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to account for the Convertible Note. See </w:t>
      </w:r>
      <w:r>
        <w:rPr>
          <w:rFonts w:ascii="Times New Roman" w:cs="Times New Roman" w:eastAsia="Times New Roman" w:hAnsi="Times New Roman"/>
          <w:sz w:val="18"/>
          <w:szCs w:val="18"/>
          <w:i w:val="1"/>
          <w:iCs w:val="1"/>
          <w:color w:val="auto"/>
        </w:rPr>
        <w:t>Note 11 - Fair Value</w:t>
      </w:r>
      <w:r>
        <w:rPr>
          <w:rFonts w:ascii="Times New Roman" w:cs="Times New Roman" w:eastAsia="Times New Roman" w:hAnsi="Times New Roman"/>
          <w:sz w:val="18"/>
          <w:szCs w:val="18"/>
          <w:color w:val="auto"/>
        </w:rPr>
        <w:t xml:space="preserve"> for further details on the liability recorded as of September 30, 2024 and associated losses in the change of its fair value for the three months ended September 30,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(“ATM”) Program</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May 9, 2024, the Company entered into an At Market Issuance Sales Agreement (the “Sales Agreement”) and a Terms Agreement (the “Terms Agreement” and, together with the Sales Agreement, the “ATM Agreements”) with B. Riley Securities, Inc. (“B. Riley Securities”) pursuant to which the Company may, from time to time, offer and sell through or to B. Riley Securities, as sales agent or principal, shares of the Company’s common stock, having an aggregate offering price of up to $100,000.</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Sales of common stock under the ATM Agreements, if any, may be made by any method that is deemed an “at the market offering” as defined in Rule 415 promulgated under the Securities Act of 1933, as amended. The shares sold in this offering, if any, will be offered through or to B. Riley Securities, acting as agent in connection with agency transactions or as principal in connection with any principal transactions. Pursuant to the Terms Agreement, the Company will have the right, but not the obligation, from time to time at its sole discretion, for as long as the Sales Agreement remains effective, to direct B. Riley Securities on any trading day to act on a principal basis and purchase up to the maximum of the lesser of a) 50% of the prior daily trading volume, or b) $180 per day as long as the closing price on the day prior exceeds $1, and up to $900 per week, and up to $40,000 per twelve-month period, subject to any applicable limitations pursuant to the rules and regulations of The Nasdaq Stock Market, LLC (the aggregate amount so purchased by B. Riley Securities under the Terms Agreement, the “Commitment”), which Commitment will be included within the aggregate offering price of up to $100,000 of Common Stock sold pursuant to the ATM Agreements; provided, however, that only one principal sale may be requested per day unless otherwise agreed to by B. Riley Securities.</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 Riley Securities will be entitled to receive from the Company a commission in an amount (i) up to 3.0% of the gross sales price per Share sold through it as agent in agency transactions and (ii) equal to 5.0% of the purchase price per Share sold to B. Riley Securities, as principal in principal transactions. The Company has agreed to provide B. Riley Securities with customary indemnification and contribution rights. The Company will also reimburse B. Riley Securities for certain specified expenses as set forth in the Sales Agreement.</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Sales Agreement may be terminated by either B. Riley Securities or the Company, as permitted therein. The Sales Agreement will automatically terminate upon the sale of all of the Shares subject to the Sales Agreement. As of September 30, 2024, LanzaTech has not sold any shares through the ATM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Shortfall Warrants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March 27, 2023, the Company issued an aggregate of 2,073,486 warrants to ACM and 2,010,000 warrants to Vellar pursuant to the FPA (collectively, the “Shortfall Warrants”). Each Shortfall Warrant entitles the registered holder to purchase one share of common stock at a price of $10.00 per share, subject to adjustment in the event that the Company sells, grants or otherwise issues common stock or common stock equivalents at an effective price less than the then current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exercise price of the Shortfall Warrants, at any time commencing on or after March 27, 2023. A holder of a Shortfall Warrant may exercise such warrants on a cashless basis. The Shortfall Warrants expire on the fifth anniversary of their issuance. On the issuance date, the Shortfall Warrants met the definition of a derivative but did not qualify for the exception from derivative accounting under the indexation guidance and therefore met the criteria for liability classification under ASC 815-40, </w:t>
      </w:r>
      <w:r>
        <w:rPr>
          <w:rFonts w:ascii="Times New Roman" w:cs="Times New Roman" w:eastAsia="Times New Roman" w:hAnsi="Times New Roman"/>
          <w:sz w:val="18"/>
          <w:szCs w:val="18"/>
          <w:i w:val="1"/>
          <w:iCs w:val="1"/>
          <w:color w:val="auto"/>
        </w:rPr>
        <w:t>Derivatives and Hedging—Contracts in Entity’s Own Equity</w:t>
      </w:r>
      <w:r>
        <w:rPr>
          <w:rFonts w:ascii="Times New Roman" w:cs="Times New Roman" w:eastAsia="Times New Roman" w:hAnsi="Times New Roman"/>
          <w:sz w:val="18"/>
          <w:szCs w:val="18"/>
          <w:color w:val="auto"/>
        </w:rPr>
        <w:t xml:space="preserve"> (“ASC 815-40”). On May 13, 2023, the Company amended the Shortfall Warrant agreement. Under the amended agreement, the Shortfall Warrants meet the requirements for equity classification under ASC 815-40. Consequently, the Company recorded a gain of $2,042 as of the date of the amendment to reflect the fair value of $3,063 at the date of the amendment through Other expense, net on the condensed consolidated statements of operations and comprehensive loss and reclassified the Shortfall Warrants to Additional paid-in capital on the condensed consolidated balance sheets.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part of AMCI’s initial public offering (“IPO”), AMCI issued warrants to third-party investors. Each public warrant entitles the holder to purchase one share of the Company’s common stock at an exercise price of $11.50 per share (the “Public Warrants”). Simultaneously with the closing of the IPO, AMCI completed the private sale of warrants. Each private sale warrant allows the holder to purchase one share of the Company’s common stock at $11.50 per share. Additionally, prior to the consummation of the Business Combination, AMCI issued warrants for the settlement of a working capital loan. The working capital warrants have the same terms as the private sale of warrants issued at the IPO. Warrants sold in the private sale at the IPO and the warrants issued to convert the working capital loan are collectively referred to as the “Private Placement Warrants”. On the Closing Date and as of September 30, 2024, 7,499,924 Public Warrants and 4,774,276 Private Placement Warrants remained outstanding.</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These warrants expire on the fifth anniversary of the Business Combination or earlier upon redemption or liquidation and became exercisable 30 days after the Business Combination.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redeem the outstanding Public Warrants:</w:t>
      </w:r>
    </w:p>
    <w:p>
      <w:pPr>
        <w:spacing w:after="0" w:line="171"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for any 20 trading days within a 30-trading day period ending three trading days before we send the notice of redemption to the warrant holders.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additionally has the ability to redeem the Public Warrants at the option of the Company when the price of common stock exceeds $10.00 per share at a price of $0.10 per warrant. In this scenario, warrant holders may choose to exercise their warrants on a cashless basis during the minimum 30-day notice period, and receive common stock in exchange for their warrants at a rate based on fair value of the common stock and the proximity to the expiration date of the warrants.</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long as the Private Placement warrants are held by AMCI Sponsor II LLC (the “Sponsor”) or its permitted transferees, they are not redeemable by LanzaTech. If the Private Placement Warrants are held by holders other than the Sponsor or its permitted transferees, the Private Placement Warrants will be redeemable by LanzaTech in all redemption scenarios and exercisable by the holders on the same basis as the Public Warrants. The Sponsor, or its permitted transferees, has the option to exercise the Private Placement Warrants on a cashless basis.</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Public Warrants and Private Placement Warrants are recognized as derivative liabilities in accordance with ASC 815. Accordingly, the Company recognized the warrant instruments as liabilities at fair value as of the Closing Date, with an offsetting entry to Additional paid-in capital and adjusts the carrying value of the instruments to fair value through Other expense, net on the condensed consolidated statements of operations and comprehensive loss at each reporting period until they are exercised. The Public Warrants and Private Placement Warrants are presented within Warrants on the condensed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Forward Purchase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FPA consists of the Prepayment Amount, the FPA Put Option and the Fixed Maturity Consideration. The Prepayment Amount of $60,547 is presented as a reduction to Additional paid-in capital in our condensed consolidated balance sheets.</w:t>
      </w:r>
    </w:p>
    <w:p>
      <w:pPr>
        <w:spacing w:after="0" w:line="10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2023, the value of the FPA Put Option, inclusive of the Variable Maturity Consideration, is valued at $37,523 and is classified as non-current liability in the condensed consolidated balance sheets. As of September 30, 2024, the FPA Put Option is valued at $48,182 exclusive of the Variable Maturity Consideration, and remained classified as non-current liability in the condensed consolidated balance sheets. The Variable Maturity Consideration was reclassified to current in the condensed consolidated balance sheets as of September 30, 2024.</w:t>
      </w:r>
    </w:p>
    <w:p>
      <w:pPr>
        <w:spacing w:after="0" w:line="12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As of December 31, 2023, the Fixed Maturity Consideration is valued at $7,228 which represents the fair value of the fixed portion of the Share Consideration and the Minimum Maturity Consideration and is classified as non-current liability in the condensed consolidated balance sheets. As of September 30, 2024, the entirety of the Fixed Maturity Consideration was reclassified to current in the condensed consolidated balance sheets.</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current portion of the FPA related liabilities are valued at $20,080 as of September 30, 2024 and comprise the Fixed Maturity Consideration valued at $8,247 and the Variable portion of the Share Consideration valued at $11,833 that was included in the FPA Put Option liability previously.</w:t>
      </w:r>
    </w:p>
    <w:p>
      <w:pPr>
        <w:spacing w:after="0" w:line="10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Expensed transaction costs, representing the stock acquisition fees, in the amount of $451 were recorded in Other expense, net on the condensed consolidated statements of operations and comprehensive loss in the nine months ended September 30, 2023.</w:t>
      </w:r>
    </w:p>
    <w:p>
      <w:pPr>
        <w:spacing w:after="0" w:line="9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 xml:space="preserve">On July 22, 2024, Vellar purported to accelerate the FPA Maturity Date with respect to its portion of the FPA in connection with the satisfaction of the VWAP Condition. It subsequently delivered to the Company a notice of default under the FPA. On July 24, 2024, the Company filed suit against Vellar under the FPA, primarily in connection with Vellar’s sale of Recycled Shares (see </w:t>
      </w:r>
      <w:r>
        <w:rPr>
          <w:rFonts w:ascii="Times New Roman" w:cs="Times New Roman" w:eastAsia="Times New Roman" w:hAnsi="Times New Roman"/>
          <w:sz w:val="18"/>
          <w:szCs w:val="18"/>
          <w:i w:val="1"/>
          <w:iCs w:val="1"/>
          <w:color w:val="auto"/>
        </w:rPr>
        <w:t>Note 15 - Commitments and Contingencies).</w:t>
      </w:r>
      <w:r>
        <w:rPr>
          <w:rFonts w:ascii="Times New Roman" w:cs="Times New Roman" w:eastAsia="Times New Roman" w:hAnsi="Times New Roman"/>
          <w:sz w:val="18"/>
          <w:szCs w:val="18"/>
          <w:color w:val="auto"/>
        </w:rPr>
        <w:t xml:space="preserve"> In October 2024, ACM accelerated the FPA Maturity Date with respect to its portion of the FPA in connection with the satisfaction of the VWAP Condition, and the Company fully satisfied its obligation to ACM in accordance with the FPA’s provisions (see </w:t>
      </w:r>
      <w:r>
        <w:rPr>
          <w:rFonts w:ascii="Times New Roman" w:cs="Times New Roman" w:eastAsia="Times New Roman" w:hAnsi="Times New Roman"/>
          <w:sz w:val="18"/>
          <w:szCs w:val="18"/>
          <w:i w:val="1"/>
          <w:iCs w:val="1"/>
          <w:color w:val="auto"/>
        </w:rPr>
        <w:t>Note 16 - Subsequent Events</w:t>
      </w:r>
      <w:r>
        <w:rPr>
          <w:rFonts w:ascii="Times New Roman" w:cs="Times New Roman" w:eastAsia="Times New Roman" w:hAnsi="Times New Roman"/>
          <w:sz w:val="18"/>
          <w:szCs w:val="18"/>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its assets and liabilities measured at fair value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Measurement as of</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w:t>
            </w: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61,577</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 Put Option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48,182</w:t>
            </w:r>
          </w:p>
        </w:tc>
      </w:tr>
      <w:tr>
        <w:trPr>
          <w:trHeight w:val="175"/>
        </w:trPr>
        <w:tc>
          <w:tcPr>
            <w:tcW w:w="5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Fixed Maturity Consideration and current portion of the FPA Put</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Brookfield SAFE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140,869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141,994</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5"/>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5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Measurement as of</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28,058</w:t>
            </w:r>
          </w:p>
        </w:tc>
      </w:tr>
      <w:tr>
        <w:trPr>
          <w:trHeight w:val="270"/>
        </w:trPr>
        <w:tc>
          <w:tcPr>
            <w:tcW w:w="50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 Put Option liability</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37,523</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Consideration</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Brookfield SAFE liability</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77,515</w:t>
            </w:r>
          </w:p>
        </w:tc>
      </w:tr>
      <w:tr>
        <w:trPr>
          <w:trHeight w:val="21"/>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fair value upon issuance of the FPA (both the FPA Put Option liability and Fixed Maturity Consideration) and subsequent changes in fair value are included in Other expense, net in the condensed consolidated statements of operations and comprehensive loss in the corresponding period.</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fair value of the FPA was estimated using a Monte-Carlo Simulation in a risk-neutral framework through March 31, 2024. Because the stock price already traded below the threshold of $3.00 per share for 49 days out of 50 trading days during a 60-day consecutive trading-day period, management determined that estimating the fair value of the FPA using an accelerated FPA Maturity Date was more appropriate. As such, the model calculated the value of the in-substance written put option and the portion of the Maturity Consideration in excess of the Fixed Maturity Consideration as if the Early Termination Option was exercised on June 30, 2024. The in-substance written put option was calculated as the repurchase of the Recycled Shares at the Share Price minus the Company’s share price as of June 30, 2024. The Maturity Consideration was calculated as 7,500,000 multiplied by $2.00 or $15,000, which included the Fixed Maturity Consideration calculated as 7,500,000 less the Terminated Shares multiplied by $2.00, or $3,167.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inputs used in calculating the fair value of the prepaid forward contract and the Fixed Maturity Consideration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5.03</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Pr>
          <w:p>
            <w:pPr>
              <w:spacing w:after="0"/>
              <w:rPr>
                <w:sz w:val="19"/>
                <w:szCs w:val="19"/>
                <w:color w:val="auto"/>
              </w:rPr>
            </w:pP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filed suit against Vellar under the FPA (see Note 15 - Commitments and Contingencies) and fully settled with ACM in October 2024 (see Note 16 - Subsequent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elected to measure the Convertible Note using the fair value option under ASC 825. As of September 30, 2024, no part of the Convertible Note has converted into the Company’s common stock as no Qualified Equity Financing nor Non-Qualifying Financing events have occurred and the holders has not exercised its right to convert. The fair value of the Convertible Note was estimated using a binomial lattice model. At issuance, the Company recognized the Convertible Note liability at a fair value of $40,150 on August 6, 2024. Subsequently, the Company remeasured the liability and recognized an increase in fair value of approximately $21,422 on the condensed consolidated statements of operations and comprehensive loss within other expense, net representing the change in fair value from the initial closing to September 30, 2024, and $5 attributable to the change in the instrument-specific credit risk in other comprehensive income.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inputs used in calculating the fair value of the Convertible Note as of September 30, 2024 and August 6,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0" w:type="dxa"/>
            <w:vAlign w:val="bottom"/>
          </w:tcPr>
          <w:p>
            <w:pPr>
              <w:spacing w:after="0"/>
              <w:rPr>
                <w:sz w:val="16"/>
                <w:szCs w:val="16"/>
                <w:color w:val="auto"/>
              </w:rPr>
            </w:pPr>
          </w:p>
        </w:tc>
        <w:tc>
          <w:tcPr>
            <w:tcW w:w="16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August 6, 2024</w:t>
            </w:r>
          </w:p>
        </w:tc>
      </w:tr>
      <w:tr>
        <w:trPr>
          <w:trHeight w:val="23"/>
        </w:trPr>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Brookfield SAFE</w:t>
      </w:r>
    </w:p>
    <w:p>
      <w:pPr>
        <w:spacing w:after="0" w:line="17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Brookfield SAFE is legal form debt that the Company has elected to measure using the FVO under ASC 825. As of September 30, 2024, no part of the Brookfield SAFE has converted to Company common shares as no qualifying projects have been presented to Brookfield yet. There were no cash flows associated with the Brookfield SAFE in the three months ended September 30, 2024.</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expects to present sufficient projects to Brookfield to result in the Brookfield SAFE being automatically converted into shares. Since the liquidity price was set at the Business Combination, the number of shares that Brookfield receives is fixed. Based on this expectation, the value of the Brookfield SAFE is equal to the Brookfield SAFE's as-converted value, which is the initial purchase amount, divided by the liquidity price, multiplied by the stock price, resulting in an estimated fair value of $9,550 recorded on the condensed consolidated balance sheet.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inputs for Level 3 Brookfield SAFE measurement at September 30, 2024 and December 31, 2023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6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purchase amount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Liquidity price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Public Warrants, the Company uses inputs such as actual trade data, quoted market prices from dealers or brokers, and other similar sources to determine the fair value. Changes in fair value are recorded in Other expense, net within the condensed consolidated statements of operations and comprehensive loss. The Company recognized decreases in the fair value of the liability of $2,574 and $2,100 during the nine months ended September 30, 2024 and 2023, respectively.</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fair value of the Private Placement Warrants was estimated using a Black-Scholes option pricing model. For the nine months ended September 30, 2024, the Company recognized a decrease in the fair value of $2,435. For the nine months ended September 30, 2023, the Company recognized an increase in the fair value of liabilities of approximately $2,912. Changes in fair value are recorded on the condensed consolidated statements of operations and comprehensive loss within Other expense, net.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weighted average inputs used in calculating the fair value of the Private Placement Warrants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1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36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35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5.03</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3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900"/>
        </w:trPr>
        <w:tc>
          <w:tcPr>
            <w:tcW w:w="3660" w:type="dxa"/>
            <w:vAlign w:val="bottom"/>
          </w:tcPr>
          <w:p>
            <w:pPr>
              <w:spacing w:after="0"/>
              <w:rPr>
                <w:sz w:val="24"/>
                <w:szCs w:val="24"/>
                <w:color w:val="auto"/>
              </w:rPr>
            </w:pPr>
          </w:p>
        </w:tc>
        <w:tc>
          <w:tcPr>
            <w:tcW w:w="358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7"/>
        </w:trPr>
        <w:tc>
          <w:tcPr>
            <w:tcW w:w="36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9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represent reconciliations of the fair value measurements of the assets and liabilities using significant unobservable inputs (Level 3)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FPA Put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Maturity</w:t>
            </w:r>
          </w:p>
        </w:tc>
        <w:tc>
          <w:tcPr>
            <w:tcW w:w="120" w:type="dxa"/>
            <w:vAlign w:val="bottom"/>
          </w:tcPr>
          <w:p>
            <w:pPr>
              <w:spacing w:after="0"/>
              <w:rPr>
                <w:sz w:val="13"/>
                <w:szCs w:val="13"/>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Brookfield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0" w:type="dxa"/>
            <w:vAlign w:val="bottom"/>
          </w:tcPr>
          <w:p>
            <w:pPr>
              <w:spacing w:after="0"/>
              <w:rPr>
                <w:sz w:val="1"/>
                <w:szCs w:val="1"/>
                <w:color w:val="auto"/>
              </w:rPr>
            </w:pPr>
          </w:p>
        </w:tc>
      </w:tr>
      <w:tr>
        <w:trPr>
          <w:trHeight w:val="79"/>
        </w:trPr>
        <w:tc>
          <w:tcPr>
            <w:tcW w:w="2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20" w:type="dxa"/>
            <w:vAlign w:val="bottom"/>
          </w:tcPr>
          <w:p>
            <w:pPr>
              <w:spacing w:after="0"/>
              <w:rPr>
                <w:sz w:val="6"/>
                <w:szCs w:val="6"/>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SAFE</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85"/>
        </w:trPr>
        <w:tc>
          <w:tcPr>
            <w:tcW w:w="2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(37,523)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Issuance of the Convertible Note</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2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gain recognized in other expense, net on the condensed consolidated</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 of operations and comprehensive loss</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(21,427)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(22,492)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(60,015)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FPA Put</w:t>
            </w:r>
          </w:p>
        </w:tc>
        <w:tc>
          <w:tcPr>
            <w:tcW w:w="140" w:type="dxa"/>
            <w:vAlign w:val="bottom"/>
          </w:tcPr>
          <w:p>
            <w:pPr>
              <w:spacing w:after="0"/>
              <w:rPr>
                <w:sz w:val="24"/>
                <w:szCs w:val="2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Fixed Maturity</w:t>
            </w:r>
          </w:p>
        </w:tc>
        <w:tc>
          <w:tcPr>
            <w:tcW w:w="140" w:type="dxa"/>
            <w:vAlign w:val="bottom"/>
          </w:tcPr>
          <w:p>
            <w:pPr>
              <w:spacing w:after="0"/>
              <w:rPr>
                <w:sz w:val="24"/>
                <w:szCs w:val="24"/>
                <w:color w:val="auto"/>
              </w:rPr>
            </w:pPr>
          </w:p>
        </w:tc>
        <w:tc>
          <w:tcPr>
            <w:tcW w:w="7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Shortfall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on</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 SAFE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 SAFE</w:t>
            </w:r>
          </w:p>
        </w:tc>
        <w:tc>
          <w:tcPr>
            <w:tcW w:w="120" w:type="dxa"/>
            <w:vAlign w:val="bottom"/>
          </w:tcPr>
          <w:p>
            <w:pPr>
              <w:spacing w:after="0"/>
              <w:rPr>
                <w:sz w:val="24"/>
                <w:szCs w:val="24"/>
                <w:color w:val="auto"/>
              </w:rPr>
            </w:pPr>
          </w:p>
        </w:tc>
        <w:tc>
          <w:tcPr>
            <w:tcW w:w="9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Brookfield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0" w:type="dxa"/>
            <w:vAlign w:val="bottom"/>
          </w:tcPr>
          <w:p>
            <w:pPr>
              <w:spacing w:after="0"/>
              <w:rPr>
                <w:sz w:val="1"/>
                <w:szCs w:val="1"/>
                <w:color w:val="auto"/>
              </w:rPr>
            </w:pPr>
          </w:p>
        </w:tc>
      </w:tr>
      <w:tr>
        <w:trPr>
          <w:trHeight w:val="70"/>
        </w:trPr>
        <w:tc>
          <w:tcPr>
            <w:tcW w:w="2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0" w:type="dxa"/>
            <w:vAlign w:val="bottom"/>
          </w:tcPr>
          <w:p>
            <w:pPr>
              <w:spacing w:after="0"/>
              <w:rPr>
                <w:sz w:val="6"/>
                <w:szCs w:val="6"/>
                <w:color w:val="auto"/>
              </w:rPr>
            </w:pPr>
          </w:p>
        </w:tc>
        <w:tc>
          <w:tcPr>
            <w:tcW w:w="7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6"/>
                <w:szCs w:val="6"/>
                <w:color w:val="auto"/>
              </w:rPr>
            </w:pPr>
          </w:p>
        </w:tc>
        <w:tc>
          <w:tcPr>
            <w:tcW w:w="9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SAFE</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70"/>
        </w:trPr>
        <w:tc>
          <w:tcPr>
            <w:tcW w:w="2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Recognized as a result of the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Combination</w:t>
            </w:r>
          </w:p>
        </w:tc>
        <w:tc>
          <w:tcPr>
            <w:tcW w:w="18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gain recognized in other</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expense, net on the consolidated</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statement of operations and</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(38,092)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(7,020)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Conversion of warrants to</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shares</w:t>
            </w:r>
          </w:p>
        </w:tc>
        <w:tc>
          <w:tcPr>
            <w:tcW w:w="18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Conversion of SAFE liability to</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classification</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of warrant to</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4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as of September 30,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(38,092)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(7,020)</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spacing w:after="0"/>
              <w:rPr>
                <w:sz w:val="13"/>
                <w:szCs w:val="13"/>
                <w:color w:val="auto"/>
              </w:rPr>
            </w:pP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(23,350)</w:t>
            </w:r>
          </w:p>
        </w:tc>
        <w:tc>
          <w:tcPr>
            <w:tcW w:w="4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3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60" w:type="dxa"/>
            <w:vAlign w:val="bottom"/>
            <w:gridSpan w:val="3"/>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980" w:type="dxa"/>
            <w:vAlign w:val="bottom"/>
            <w:gridSpan w:val="4"/>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gridSpan w:val="3"/>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980" w:type="dxa"/>
            <w:vAlign w:val="bottom"/>
            <w:gridSpan w:val="4"/>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6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as well as income taxes in foreign jurisdictions in which it conducts business. The Company does not provide for federal income taxes on the undistributed earnings of its foreign subsidiaries as such earnings are reinvested indefinitely. The Company and its foreign subsidiaries have historically been loss generating entities that have resulted in no excess earnings to consider for repatriation and accordingly there are no deferred income taxes recognized for the periods ended September 30, 2024 and 2023.</w:t>
      </w:r>
    </w:p>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recorded no income tax expense for the nine months ended September 30, 2024 and 2023, representing an effective tax rate of 0%. The difference between the U.S. federal statutory rate of 21% and the Company's effective tax rate in the nine months ended September 30, 2024 and 2023 is primarily due to a full valuation allowance related to the Company's U.S. and foreign deferred tax assets. The Company reassesses the need for a valuation allowance on a quarterly basis. If it is determined that a portion or all of the valuation allowance is not required, it will generally be a benefit to the income tax provision in the period such determination is made.</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conducts business in multiple jurisdictions within and outside the United States. Consequently, the Company is subject to periodic income tax examinations by domestic and foreign income tax authorities. The Company is subject to audits for tax years 2017 and onward for federal purposes. There are tax years which remain subject to examination in various other state and foreign jurisdictions that are not material to the Company's financial statements.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a framework to implement a global minimum corporate tax of 15% for companies with global revenues and profits above certain thresholds (referred to as Pillar 2), with certain aspects of Pillar 2 effective January 1, 2024 and other aspects effective January 1, 2025. While it is uncertain whether the U.S. will enact legislation to adopt Pillar 2, certain countries in which we operate have adopted legislation, and other countries are in the process of introducing legislation to implement Pillar 2. We do not anticipate Pillar 2 to have material impacts on our effective tax rate, financial position or cash flows during the current year.</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Share-Based Compensation</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the LanzaTech 2023 Long-Term Incentive Plan (the “LTIP”) in conjunction with the closing of the Business Combination. The LTIP provides for grants of a variety of awards to employees, directors, and other service providers to the Company, including, but not limited to stock options, stock appreciation rights, restricted stock awards, restricted stock units, performance awards and other stock-based awards or cash incentives. Prior to the effective date of the closing of the Business Combination, the Company granted awards under the LanzaTech NZ Inc. 2013 Stock Plan, the LanzaTech NZ Inc. 2015 Stock Plan, and the LanzaTech NZ, Inc. 2019 Stock Plan, (collectively, the “Prior Stock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Classified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LTIP, the Company has granted two types of RSUs: time-based RSUs, and market-based RSUs. Time-based RSUs granted to employees and other service providers (other than directors) are generally subject to a three-year annual pro-rata vesting schedule whereby the awards generally vest in 3 equal tranches on the first, second, and third anniversaries of the vesting commencement date, subject to grantee’s continued service through each vesting date. However, vesting will accelerate in certain circumstances (e.g., retirement, death, disability, or a qualified termination in connection with a change in control). Time-based RSUs granted to directors are subject to a one-year vesting schedule and the full award vests on the first anniversary of the vesting commencement date, subject to the director’s continued service through the vesting date. However, vesting will accelerate in certain circumstances (e.g., removal in connection with a change in control).</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market-based RSUs have both a time-based and a market-based vesting component. Both components must be met for the award to vest. The market-based RSUs are subject to a three-year annual pro-rata 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whereby the awards generally vest in 3 equal tranches on the first, second, and third anniversaries of the vesting commencement date, subject to grantee’s continued service through each vesting date. The market-based vesting component is satisfied if on any date during the period beginning on the 151st date following the vesting commencement date and ending on the fifth anniversary of the vesting commencement date, the average closing price of a share of the Company’s common stock, equals or exceeds $11.50, determined using the closing share price from the 20 trading days preceding such determination date.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unvested time-based and market-based equity-classified RSUs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780" w:type="dxa"/>
            <w:vAlign w:val="bottom"/>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Time-based RSUs</w:t>
            </w:r>
          </w:p>
        </w:tc>
        <w:tc>
          <w:tcPr>
            <w:tcW w:w="368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Market-based RSUs</w:t>
            </w:r>
          </w:p>
        </w:tc>
      </w:tr>
      <w:tr>
        <w:trPr>
          <w:trHeight w:val="169"/>
        </w:trPr>
        <w:tc>
          <w:tcPr>
            <w:tcW w:w="3780" w:type="dxa"/>
            <w:vAlign w:val="bottom"/>
          </w:tcPr>
          <w:p>
            <w:pPr>
              <w:spacing w:after="0"/>
              <w:rPr>
                <w:sz w:val="14"/>
                <w:szCs w:val="14"/>
                <w:color w:val="auto"/>
              </w:rPr>
            </w:pPr>
          </w:p>
        </w:tc>
        <w:tc>
          <w:tcPr>
            <w:tcW w:w="1880" w:type="dxa"/>
            <w:vAlign w:val="bottom"/>
            <w:tcBorders>
              <w:top w:val="single" w:sz="8" w:color="auto"/>
            </w:tcBorders>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4"/>
                <w:szCs w:val="14"/>
                <w:color w:val="auto"/>
              </w:rPr>
            </w:pPr>
          </w:p>
        </w:tc>
        <w:tc>
          <w:tcPr>
            <w:tcW w:w="1880" w:type="dxa"/>
            <w:vAlign w:val="bottom"/>
            <w:tcBorders>
              <w:top w:val="single" w:sz="8" w:color="auto"/>
            </w:tcBorders>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41"/>
        </w:trPr>
        <w:tc>
          <w:tcPr>
            <w:tcW w:w="3780" w:type="dxa"/>
            <w:vAlign w:val="bottom"/>
          </w:tcPr>
          <w:p>
            <w:pPr>
              <w:spacing w:after="0"/>
              <w:rPr>
                <w:sz w:val="20"/>
                <w:szCs w:val="20"/>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r>
      <w:tr>
        <w:trPr>
          <w:trHeight w:val="25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tcBorders>
            <w:shd w:val="clear" w:color="auto" w:fill="CCEEFF"/>
          </w:tcPr>
          <w:p>
            <w:pPr>
              <w:spacing w:after="0"/>
              <w:rPr>
                <w:sz w:val="21"/>
                <w:szCs w:val="21"/>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7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3"/>
                <w:szCs w:val="23"/>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70"/>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Cancelled/forfeited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compensation expense related to the time-based RSUs of $1,525 and $913 for the three months ended September 30, 2024 and 2023, respectively. The Company recorded compensation expense of $3,866 and $2,157 for the nine months ended September 30, 2024 and 2023, respectively. Unrecognized compensation costs as of September 30, 2024 were $9,970 and will be recognized over a weighted average of 1.95 years.</w:t>
      </w:r>
    </w:p>
    <w:p>
      <w:pPr>
        <w:spacing w:after="0" w:line="12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recorded compensation expense related to the market-based RSUs of $437 and $982 for the three months ended September 30, 2024 and 2023, respectively. The Company recorded compensation expense related to the market-based RSUs of $1,551 and $2,437 for the nine months ended September 30, 2024 and 2023, respectively. Unrecognized compensation costs as of September 30, 2024 were 1,303 and will be recognized over a weighted average of 1.13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LTIP and Prior Stock Plans, grantees have also been granted stock options to purchase common shares. The exercise price of each stock option was no less than the fair market value price of the Company’s common shares determined as of the date of grant. The stock options generally vest over the course of two to five years, subject to the service provider’s continued service through each vesting date. Upon termination of service, unvested stock options are forfeited in accordance with their terms unless the award agreement provides for accelerated vesting (e.g., due to retirement). The below tables reflect the stock options granted prior to the Business Combination multiplied by the exchange ratio and the weighted average exercise price divided by the 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awards outstanding as of September 30, 2024 and changes during the period ended September 30, 2024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subject to option</w:t>
            </w:r>
          </w:p>
        </w:tc>
        <w:tc>
          <w:tcPr>
            <w:tcW w:w="160" w:type="dxa"/>
            <w:vAlign w:val="bottom"/>
          </w:tcPr>
          <w:p>
            <w:pPr>
              <w:spacing w:after="0"/>
              <w:rPr>
                <w:sz w:val="13"/>
                <w:szCs w:val="13"/>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42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7"/>
                <w:szCs w:val="17"/>
                <w:color w:val="auto"/>
              </w:rPr>
            </w:pPr>
          </w:p>
        </w:tc>
        <w:tc>
          <w:tcPr>
            <w:tcW w:w="14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value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expecting to vest at January 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January 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expecting to vest at September 30,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September 30,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Company recorded compensation expense related to the options of $1,694 and $1,234 for the three months ended September 30, 2024 and 2023, respectively. The Company recorded compensation expense related to the options of $4,536 and $4,443 for the nine months ended September 30, 2024 and 2023, respectively. Unrecognized compensation costs as of September 30, 2024 were $9,972 and will be recognized over a weighted average of 1.98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 (“RSAs”)</w:t>
      </w:r>
    </w:p>
    <w:p>
      <w:pPr>
        <w:spacing w:after="0" w:line="173"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Under the Prior Stock Plans, the Company granted RSAs which become eligible to vest upon the satisfaction of a time-based service condition. However, in order to vest, a liquidity event, defined as acquisition, asset transfer, or initial listing, must occur within 10 years from the grant date. Upon a liquidity event, if the participant’s service has not terminated, the entire RSA award vests in full, whether or not previously eligible for vesting. If the participant’s service has terminated and the participant has satisfied the time-based service condition, the RSAs that are outstanding and eligible for vesting immediately vest in full upon liquidity event. The time-based service requirements of the RSAs have a maximum term of three years from the date of grant.</w:t>
      </w:r>
    </w:p>
    <w:p>
      <w:pPr>
        <w:spacing w:after="0" w:line="1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Business Combination constituted a “liquidity event” which caused the vesting of all such outstanding, unvested RSAs. The vesting of the RSAs resulted in compensation expense of $2,741 for the nine months ended September 30, 2023. In connection with the vesting of these RSAs, certain holders of the RSAs surrendered 771,141 shares in a withhold to cover transaction to fund the payment of applicable tax withholding on their behalf by the Company. This resulted in a total cash payment of $7,650 by the Company to the Internal Revenue Service for the applicable tax withholding associated with this vesting event.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Liability-Classified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Phantom RSUs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a phantom equity sub-plan of the LTIP, certain non-US employees of the Company were provided with Phantom RSUs that can only be settled in cash and are therefore recorded as a liability. The Phantom RSUs have a graded vesting schedule and vest in 3 equal tranches on the first, second, and third anniversaries of the vesting commencement date, subject to the employee meeting the requisite service requirements. Grantees are entitled to receive a cash payment equal to the fair market value of a share multiplied by the number of vested Phantom RSUs as of the applicable vesting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Phantom SARs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a phantom equity sub-plan of the LTIP, certain non-US employees of the company were provided with Phantom SARs that can only be settled in cash and are therefore recorded as a liability. The Phantom SARs have a graded vesting schedule and vest in three equal tranches on the first, second, and third anniversaries of the vesting commencement date, subject to the employee meeting the requisite service requirements. Phantom SARs expire 10 years after the grant date and entitle the grantee to receive a cash payment upon exercise of the award equal to the excess of the fair market value of a share on the date of exercise over the exercise price multiplied by the number of SARs exercised.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173"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 of September 30, 2024 and December 31, 2023, the Company has an equity ownership in LanzaJet and SGLT (see </w:t>
      </w:r>
      <w:r>
        <w:rPr>
          <w:rFonts w:ascii="Times New Roman" w:cs="Times New Roman" w:eastAsia="Times New Roman" w:hAnsi="Times New Roman"/>
          <w:sz w:val="18"/>
          <w:szCs w:val="18"/>
          <w:i w:val="1"/>
          <w:iCs w:val="1"/>
          <w:color w:val="auto"/>
        </w:rPr>
        <w:t>Note 6 - Investments</w:t>
      </w:r>
      <w:r>
        <w:rPr>
          <w:rFonts w:ascii="Times New Roman" w:cs="Times New Roman" w:eastAsia="Times New Roman" w:hAnsi="Times New Roman"/>
          <w:sz w:val="18"/>
          <w:szCs w:val="18"/>
          <w:color w:val="auto"/>
        </w:rPr>
        <w:t xml:space="preserve"> for further details). The table below summarizes amounts related to transactions with these related parties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40" w:type="dxa"/>
            <w:vAlign w:val="bottom"/>
            <w:tcBorders>
              <w:bottom w:val="single" w:sz="8" w:color="auto"/>
            </w:tcBorders>
          </w:tcPr>
          <w:p>
            <w:pPr>
              <w:spacing w:after="0"/>
              <w:rPr>
                <w:sz w:val="18"/>
                <w:szCs w:val="18"/>
                <w:color w:val="auto"/>
              </w:rPr>
            </w:pPr>
          </w:p>
        </w:tc>
      </w:tr>
      <w:tr>
        <w:trPr>
          <w:trHeight w:val="211"/>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468"/>
        </w:trPr>
        <w:tc>
          <w:tcPr>
            <w:tcW w:w="6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revenue from related parties per disaggregated revenue categories: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3"/>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100" w:type="dxa"/>
            <w:vAlign w:val="bottom"/>
          </w:tcPr>
          <w:p>
            <w:pPr>
              <w:spacing w:after="0"/>
              <w:rPr>
                <w:sz w:val="24"/>
                <w:szCs w:val="24"/>
                <w:color w:val="auto"/>
              </w:rPr>
            </w:pPr>
          </w:p>
        </w:tc>
        <w:tc>
          <w:tcPr>
            <w:tcW w:w="3120" w:type="dxa"/>
            <w:vAlign w:val="bottom"/>
            <w:gridSpan w:val="4"/>
          </w:tcPr>
          <w:p>
            <w:pPr>
              <w:jc w:val="right"/>
              <w:ind w:right="41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98"/>
        </w:trPr>
        <w:tc>
          <w:tcPr>
            <w:tcW w:w="47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related parties, included within Licensing</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r>
      <w:tr>
        <w:trPr>
          <w:trHeight w:val="176"/>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from related parties, included within Engineering and</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transactions with related parties are described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LanzaJet</w:t>
      </w:r>
    </w:p>
    <w:p>
      <w:pPr>
        <w:spacing w:after="0" w:line="17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and LanzaJet have entered into a master service agreement defining the terms when LanzaJet is a subcontractor for some of the Company’s projects, and conversely, when the Company is a subcontractor for LanzaJet’s projects. The accounts payable balance is for work that LanzaJet performed as a subcontractor to the Company.</w:t>
      </w:r>
    </w:p>
    <w:p>
      <w:pPr>
        <w:spacing w:after="0" w:line="12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formation of LanzaJet, the Company entered into a transition services agreement with LanzaJet. The transition services agreement generally sets out the respective rights, responsibilities and obligations of the Company and LanzaJet with respect to R&amp;D services, access to office and laboratory space, business development and other administrative support services. The transition services agreement may be terminated by mutual consent of the Company and LanzaJet, by LanzaJet at any time, and by the Company upon breach or non-payment by LanzaJet. There are no substantive termination penalties in the event the Company terminates. For the three months ended September 30, 2024 and 2023, the Company recognized revenue of approximately $63 and $97, respectively, under the transition services agreement. For the nine months ended September 30, 2024 and 2023, the Company recognized revenue from related parties of approximately $150 and $209, respectively, under the transition services agreement.</w:t>
      </w:r>
    </w:p>
    <w:p>
      <w:pPr>
        <w:spacing w:after="0" w:line="13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 xml:space="preserve">In addition to the licensing and sublicensing of its intellectual property, pursuant to the Investment Agreement as described in </w:t>
      </w:r>
      <w:r>
        <w:rPr>
          <w:rFonts w:ascii="Times New Roman" w:cs="Times New Roman" w:eastAsia="Times New Roman" w:hAnsi="Times New Roman"/>
          <w:sz w:val="18"/>
          <w:szCs w:val="18"/>
          <w:i w:val="1"/>
          <w:iCs w:val="1"/>
          <w:color w:val="auto"/>
        </w:rPr>
        <w:t>Note 6 - Investments</w:t>
      </w:r>
      <w:r>
        <w:rPr>
          <w:rFonts w:ascii="Times New Roman" w:cs="Times New Roman" w:eastAsia="Times New Roman" w:hAnsi="Times New Roman"/>
          <w:sz w:val="18"/>
          <w:szCs w:val="18"/>
          <w:color w:val="auto"/>
        </w:rPr>
        <w:t>, the Company provides certain engineering and other services related to a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to-jet demonstration plant currently in development by LanzaJet and other projects whereby LanzaJet is the customer. The Company recognized revenue of $15 and $6, respectively, for the three months ended September 30, 2024 and 2023. The Company recognized revenue of $44 and $446, respectively, for the nine months ended September 30,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2023, LanzaTech sold LanzaJet the right to utilize some of LanzaTech’s completed engineering work as a basis for future LanzaJet projects.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$58 and $173 in deferred profit for the three and nine months ended September 30,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LanzaJet Note Purchase Agreement</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November 9, 2022, the Company and the other LanzaJet shareholders entered into a Note Purchase Agreement (the “LanzaJet Note Purchase Agreement”), pursuant to which LanzaJet Freedom Pines Fuels LLC (“FPF”), a wholly owned subsidiary of LanzaJet, will issue, from time to time, notes in an aggregate principal amount of up to $147,000 (the “Notes”), comprised of approximately $113,500 aggregate principal amount of 6.00% Senior Secured Notes maturing December 31, 2043 and $33,500 aggregate principal amount of 6.00% Subordinated Secured Notes maturing December 31, 2043. The Company committed to purchase $5,500 of Subordinated Secured Notes, which was funded on May 1, 2023. The Senior Secured Notes are secured by a security interest over substantially all assets of FPF, and both the Senior Secured Notes and the Subordinated Secured Notes are secured by a security interest over the intellectual property owned or in-licensed by LanzaJet.</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Each purchaser of Notes under the LanzaJet Note Purchase Agreement also received a warrant for the right to purchase 575,000 shares of common stock of LanzaJet for each $10,000 of Notes purchased by such purchaser for an exercise price of $0.01 per share. The warrants are exercisable when the related loan commitment is funded, and may be exercised until the earlier of the third anniversary following the date the holder’s loan commitment is fully funded, or the end of the availability period as defined in the LanzaJet Note Purchase Agreement if the commitment has not been fully funded. In the case of the Company, LanzaTech received warrants to purchase 316,250 shares of common stock of LanzaJet, which became exercisable by the Company when the note was funded on May 1, 2023. The Company exercised the warrants in January 2024. Upon funding of the Notes, the warrants meet the accounting criteria to be considered in-substance common stock, and are accounted for as part of the equity-method investment. Refer to </w:t>
      </w:r>
      <w:r>
        <w:rPr>
          <w:rFonts w:ascii="Times New Roman" w:cs="Times New Roman" w:eastAsia="Times New Roman" w:hAnsi="Times New Roman"/>
          <w:sz w:val="18"/>
          <w:szCs w:val="18"/>
          <w:i w:val="1"/>
          <w:iCs w:val="1"/>
          <w:color w:val="auto"/>
        </w:rPr>
        <w:t>Note 6 - Investments.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LanzaJet Note Purchase Agreement may be amended with the approval of holders of at least 66 2∕3% of the Notes, except with respect to certain rights that require approval of all holders to amend. Upon an event of default under the LanzaJet Note Purchase Agreement, each purchaser may accelerate the payment of its own Notes. Enforcement against the collateral securing the Notes requires the approval of certain holders as specified in the Notes.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SGLT</w:t>
      </w:r>
    </w:p>
    <w:p>
      <w:pPr>
        <w:spacing w:after="0" w:line="1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supplies SGLT with certain water-soluble organic compounds required in the Company's proprietary gas fermentation process, small-size equipment and consulting services. For the three months ended September 30, 2024 and 2023, the Company recognized revenue of approximately $57 and $0, respectively. For the nine months ended September 30, 2024 and 2023, the Company recognized revenue of approximately $108 and $75, respectively. The Company also provided engineering services and incurred costs of $328 and $199 for the three months ended September 30, 2024 and 2023, and provided engineering services and incurred costs of $783 and $612 for the nine months ended September 30, 2024 and 2023, respectively.</w:t>
      </w:r>
    </w:p>
    <w:p>
      <w:pPr>
        <w:spacing w:after="0" w:line="133"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Additionally, LanzaTech and SGLT entered into a license agreement in 2019, subsequently amended in August 2023, to provide SGLT with the right to sublicense the intellectual property that LanzaTech previously licensed to SGLT. In exchange, the Company is entitled to receive fixed licensing consideration, calculated as a percentage of the maximum amount of royalties owed to SGLT from its sublicenses. Prior to June 2023, the Company was only entitled to royalties from SGLT, if SGLT received sublicense royalty payments. For the three and nine months ended September 30, 2024, the Company did not recognize any sublicensing revenue. For the three and nine months ended September 30, 2023, the Company recognized sublicensing revenues of $951 and $1,200,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60"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Company may be involved in legal proceedings and exposed to potential claims in the normal course of business. As of September 30, 2024 and December 31, 2023, the Company does not have any reasonably possible or probable losses from such claims. The Company has filed suit against Vellar under the FPA, and Vellar has filed suit against the Company, as discussed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Vellar lawsuit</w:t>
      </w:r>
    </w:p>
    <w:p>
      <w:pPr>
        <w:spacing w:after="0" w:line="16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In relation to the FPA, the Company’s volume-weighted average share price was below $3.00 per share for 50 trading days during the 60 day consecutive trading period ended on July 1, 2024 (satisfying the VWAP Condition). On July 22, 2024, Vellar (one of the Purchasers) notified the Company of the satisfaction of the VWAP Condition, purporting to accelerate the FPA Maturity Date of its portion of the Recycled Shares (i.e., 2,990,000 common shares) to July 22, 2024. Vellar asserts that it is entitled to: (i) the Maturity Consideration of $7,500 (payable at the Company’s option in cash or shares of common stock valued at the average daily VWAP Price (as defined in the FPA) over 30 scheduled trading days ending on the accelerated FPA Maturity Date of July 22, 2024 of $1.91 per share) and (ii) a Share Consideration of $2,539, payable in cash each due and payable on July 24, 2024. On July 25, 2024 the Company received a notice from Vellar pursuant to the FPA, stating that the Company is in default of its payment obligations. On July 30, 2024, the Company received a notice of an event of default under the FPA from Vellar that (i) designated such date as the early termination date of the FPA and (ii) purports to result in an early termination cash payment of $4,164 becoming due to Vellar (equating to the sum of the Maturity Consideration and the Share Consideration minus the VWAP Price (as defined in the FPA) (as of July 29, 2024) of Vellar’s portion of the Recycled Shares).</w:t>
      </w:r>
    </w:p>
    <w:p>
      <w:pPr>
        <w:spacing w:after="0" w:line="21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 xml:space="preserve">On July 24, 2024, LanzaTech filed suit against Vellar, primarily in connection with Vellar’s sale of Recycled Shares, which LanzaTech alleges are in breach of the FPA’s requirement that Recycled Shares be held in a bankruptcy remote special purpose vehicle for the benefit of the Company unless the sale is noticed to the Company as part of an early termination, which Vellar has not done. In the event of a sale of Recycled Shares subject to an optional early termination, the Company is entitled to receive approximately $10.16 for each share sold (see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LanzaTech believes that Vellar’s notice regarding the VWAP Condition and consequently, its notice of an event of default, is not valid and accordingly, that no payments are owed to Vellar in connection with the purported acceleration of the FPA Maturity Date or early termination of the FPA. The Company intends to vigorously pursue its claims against Vellar.</w:t>
      </w:r>
    </w:p>
    <w:p>
      <w:pPr>
        <w:spacing w:after="0" w:line="19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October 23, 2024, Vellar filed suit against the Company, alleging breach of the FPA, and seeking $4,164 plus interest. The Company intends to vigorously defend itself against the claim. On October 24, 2024, Vellar sought advancement of certain expenses from the Company in connection with this litigation. The Company denied the request on October 28,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does not have sufficient information to predict the outcome of the lawsuits.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6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 November 2022, the Company entered into a lease for real estate to expand its headquarters in Skokie, Illinois. The lease was subsequently amended in December 2023. The lease contains multiple lease components, and the commencement date for one lease component occurred in October 2024. Accordingly, for this lease component where the lease commenced after September 30, 2024, there are no right-of-use assets or lease liabilities recorded on the condensed consolidated balance sheets as of September 30, 2024. Total lease payments through 2036 for this lease component are expected to be $136.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 2024, at a Special Meeting of Stockholders of the Company, the Company’s stockholders voted on and approved an amendment to the Company’s Second Amended and Restated Certificate of Incorporation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 the number of authorized shares of common stock of the Company from 400,000,000 shares to 600,000,000 shares (the “Charter Amendment”). On October 3, 2024, the Company filed the Charter Amendment with the Secretary of State of the State of Delaware. The Charter Amendment became effective upon filing.</w:t>
      </w:r>
    </w:p>
    <w:p>
      <w:pPr>
        <w:spacing w:after="0" w:line="18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On October 4, 2024, ACM delivered to the Company notice of satisfaction of the VWAP Condition, which accelerated the FPA Maturity Date with respect to ACM’s portion of the FPA. On October 15, 2024 and October 21, 2024, the Company paid in cash to ACM $2,539 in Share Consideration and $7,500 in Maturity Consideration, respectively, and ACM subsequently returned its Recycled Shares to the Company. As a result, the Company’s and ACM’s obligations under the FPA have been fully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interim condensed consolidated financial statements and the related notes included in Part I, Item 1 of this Quarterly Report, and our audited consolidated financial statements and related notes included in the Company’s Form 10-K filed with the Securities and Exchange Commission on February 29, 2024. This discussion and analysis may contain forward-looking statements based upon current beliefs, plans and expectations that involve risks, uncertainties, and assumptions, including, but not limited to, risks and uncertainties discussed under the heading ‘Cautionary Note on Forward-Looking Statements,’ and in Part II, Item IA “Risk Factors” in this Quarterly Report and in Part I, Item 1A “Risk Factors” included in our Annual Report on Form 10-K. In this section, unless otherwise indicated or the context otherwise requires, references in this section to “LanzaTech,” the “Company,” “we,” “us,” “our” and other similar terms refer to LanzaTech Global, Inc. and its consolidated subsidiaries, including LanzaTech NZ, Inc. and its consolidated subsidiaries subsequent to the Business Combination and LanzaTech NZ, Inc. and its consolidated subsidiaries prior to the Business Combination. References to “AMCI” refer to AMCI Acquisition Corp. II prior to the Business Combination.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nature-based carbon refining company that develops technology to transform waste carbon into the chemical building blocks for consumer goods such as sustainable fuels, fabrics, and packaging that people use in their daily lives. Our customers leverage our proven proprietary gas fermentation technology platform to convert certain feedstock, including waste carbon gases, into sustainable fuels and chemicals such as ethanol. Today, we are focused on taking advantage of the many uses of ethanol while capitalizing on the growing preference among major companies for renewable products and environmentally-conscious manufacturing processes. We have also been developing the capabilities to produce single cell protein as a primary product from our gas fermentation platform.</w:t>
      </w:r>
    </w:p>
    <w:p>
      <w:pPr>
        <w:spacing w:after="0" w:line="1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LanzaTech primarily employs a licensing business model whereby our customers build, own and operate facilities that use our technology, and in return, we are paid a royalty fee based on the revenue generated from the use of our technology. We are evolving our technology licensing business model to incorporate incremental ownership and operatorship in the biorefining value chain, enabling greater control over development, financing, and product access We began operations in 2005. In 2018, through our joint venture with Shougang LanzaTech (also referred as “SGLT” herein), we established the world’s first commercial waste gas-to-ethanol plant in China, followed by five more plants between 2021 and 2023 - three in China, one in India, and one in Belgium with others currently in development in various countries around the world. We also perform research and development (“R&amp;D”) services related to novel technologies and development of biocatalysts for commercial applications, mainly to produce fuels and chemicals. Recently, the Company and LanzaJet launched CirculAir™, a new joint offering and end-to-end solution utilizing LanzaTech’s gas fermentation technology in conjunction with LanzaJet’s Alcohol-to-Jet (ATJ) platform to produce sustainable aviation fuel and renewable diesel from a wide range of waste feedstocks.</w:t>
      </w:r>
    </w:p>
    <w:p>
      <w:pPr>
        <w:spacing w:after="0" w:line="21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not achieved operating profitability since our formation. Our net losses after tax were $(57.4) million for the three months ended September 30, 2024 and $(25.3) million for the same period in 2023. As of September 30, 2024 we had accumulated deficit of $(942.6) million compared to an accumulated deficit of $(831.9) million as of December 31, 2023. We anticipate that we will continue to incur losses until we sufficiently commercialize our technology.</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Near-term, we expect engineering services, including equipment packages associated with the construction of several projects that use our technology, sale of CarbonSmart products, and project development services to drive higher revenues.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8, 2022, AMCI entered into the Merger Agreement with LanzaTech NZ, Inc. and AMCI Merger Sub, Inc. (“Merger Sub”). On February 8, 2023, Merger Sub merged with and into LanzaTech NZ, Inc. Upon consummation of the Business Combination, the separate corporate existence of Merger Sub ceased, and LanzaTech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NZ, Inc. survived the Business Combination and became a wholly owned subsidiary of AMCI. In connection with the consummation of the Business Combination, the combined company was renamed “LanzaTech Global, Inc.”.</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 xml:space="preserve">LanzaTech’s unaudited condensed consolidated financial statements were prepared in accordance with US GAAP. See </w:t>
      </w:r>
      <w:r>
        <w:rPr>
          <w:rFonts w:ascii="Times New Roman" w:cs="Times New Roman" w:eastAsia="Times New Roman" w:hAnsi="Times New Roman"/>
          <w:sz w:val="18"/>
          <w:szCs w:val="18"/>
          <w:i w:val="1"/>
          <w:iCs w:val="1"/>
          <w:color w:val="auto"/>
        </w:rPr>
        <w:t>Note 2 -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to our condensed consolidated financial statements for a full description of our basis of presentation.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we review the following key business metrics to measure our performance, identify trends affecting our business, formulate business plans, and make strategic decisions that will impact the future operational results of LanzaTech. Increases or decreases in our key business metrics may not correspond with increases or decreases in our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Financial Metrics: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key elements of LanzaTech’s performance for the three months ended September 30, 2024 and September 30, 2023 are summarized in the tables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Pr>
          <w:p>
            <w:pPr>
              <w:spacing w:after="0"/>
              <w:rPr>
                <w:sz w:val="20"/>
                <w:szCs w:val="20"/>
                <w:color w:val="auto"/>
              </w:rPr>
            </w:pPr>
          </w:p>
        </w:tc>
        <w:tc>
          <w:tcPr>
            <w:tcW w:w="20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0"/>
                <w:szCs w:val="20"/>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820" w:type="dxa"/>
            <w:vAlign w:val="bottom"/>
            <w:tcBorders>
              <w:top w:val="single" w:sz="8" w:color="auto"/>
              <w:bottom w:val="single" w:sz="8" w:color="auto"/>
            </w:tcBorders>
          </w:tcPr>
          <w:p>
            <w:pPr>
              <w:spacing w:after="0"/>
              <w:rPr>
                <w:sz w:val="19"/>
                <w:szCs w:val="19"/>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Measures: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Revenue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4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Recurring Revenue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4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Revenues (ex. Depreciation)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(27,081)</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1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licensing and sales of microbes and media.</w:t>
      </w:r>
    </w:p>
    <w:p>
      <w:pPr>
        <w:spacing w:after="0" w:line="11" w:lineRule="exact"/>
        <w:rPr>
          <w:rFonts w:ascii="Times New Roman" w:cs="Times New Roman" w:eastAsia="Times New Roman" w:hAnsi="Times New Roman"/>
          <w:sz w:val="14"/>
          <w:szCs w:val="14"/>
          <w:color w:val="auto"/>
        </w:rPr>
      </w:pPr>
    </w:p>
    <w:p>
      <w:pPr>
        <w:ind w:left="340" w:right="260" w:hanging="332"/>
        <w:spacing w:after="0" w:line="26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costs of revenues from contracts with customers and grants (exclusive of depreciation), cost of revenue from collaboration agreements (exclusive of depreciation) and cost of revenue from related party transactions (exclusive of depreciation).</w:t>
      </w:r>
    </w:p>
    <w:p>
      <w:pPr>
        <w:ind w:left="340" w:right="20" w:hanging="332"/>
        <w:spacing w:after="0" w:line="26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 non-GAAP financial measure, is calculated as net loss, excluding the impact of depreciation, interest income, net, stock-based compensation, change in fair value of warrant liabilities, change in fair value of SAFE liabilities, change in fair value of the FPA Put Option liability and Fixed Maturity Consideration, change in fair value of the Convertible Note and associated transaction costs, transaction costs on issuance of FPA, loss from equity method investees, net and other one-time costs related to the Business Combination and securities registration on Form S-4, our registration statement on Form S-1, and non-recurring regulatory matters. Adjusted EBITDA is a supplemental measure that is not a substitute for, or superior to, measures of financial performance prepared in accordance with US GAAP. Adjusted EBITDA does not represent, and should not be considered, an alternative to net income (loss), as determined in accordance with US GAAP. See “Non-GAAP Financial Measures” for additional information and reconciliation of Adjusted EBITDA to net loss, its most directly comparable US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Financial Metrics: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key elements of LanzaTech’s performance for the nine months ended September 30, 2024 and September 30, 2023 are summarized in the tables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480" w:type="dxa"/>
            <w:vAlign w:val="bottom"/>
          </w:tcPr>
          <w:p>
            <w:pPr>
              <w:spacing w:after="0"/>
              <w:rPr>
                <w:sz w:val="19"/>
                <w:szCs w:val="19"/>
                <w:color w:val="auto"/>
              </w:rPr>
            </w:pPr>
          </w:p>
        </w:tc>
        <w:tc>
          <w:tcPr>
            <w:tcW w:w="1900" w:type="dxa"/>
            <w:vAlign w:val="bottom"/>
            <w:gridSpan w:val="3"/>
          </w:tcPr>
          <w:p>
            <w:pPr>
              <w:jc w:val="center"/>
              <w:ind w:left="251"/>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20" w:type="dxa"/>
            <w:vAlign w:val="bottom"/>
          </w:tcPr>
          <w:p>
            <w:pPr>
              <w:spacing w:after="0"/>
              <w:rPr>
                <w:sz w:val="19"/>
                <w:szCs w:val="19"/>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gridSpan w:val="3"/>
          </w:tcPr>
          <w:p>
            <w:pPr>
              <w:jc w:val="center"/>
              <w:ind w:left="251"/>
              <w:spacing w:after="0"/>
              <w:rPr>
                <w:sz w:val="20"/>
                <w:szCs w:val="20"/>
                <w:color w:val="auto"/>
              </w:rPr>
            </w:pPr>
            <w:r>
              <w:rPr>
                <w:rFonts w:ascii="Times New Roman" w:cs="Times New Roman" w:eastAsia="Times New Roman" w:hAnsi="Times New Roman"/>
                <w:sz w:val="17"/>
                <w:szCs w:val="17"/>
                <w:b w:val="1"/>
                <w:bCs w:val="1"/>
                <w:color w:val="auto"/>
                <w:w w:val="95"/>
              </w:rPr>
              <w:t>2024 vs. 2023</w:t>
            </w:r>
          </w:p>
        </w:tc>
        <w:tc>
          <w:tcPr>
            <w:tcW w:w="820" w:type="dxa"/>
            <w:vAlign w:val="bottom"/>
            <w:tcBorders>
              <w:top w:val="single" w:sz="8" w:color="auto"/>
              <w:bottom w:val="single" w:sz="8" w:color="auto"/>
            </w:tcBorders>
          </w:tcPr>
          <w:p>
            <w:pPr>
              <w:spacing w:after="0"/>
              <w:rPr>
                <w:sz w:val="18"/>
                <w:szCs w:val="18"/>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Measures: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42,168</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Revenue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Recurring Revenue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Revenues (ex. Depreciation)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(66,398)</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licensing and sales of microbes and media.</w:t>
      </w:r>
    </w:p>
    <w:p>
      <w:pPr>
        <w:spacing w:after="0" w:line="11" w:lineRule="exact"/>
        <w:rPr>
          <w:rFonts w:ascii="Times New Roman" w:cs="Times New Roman" w:eastAsia="Times New Roman" w:hAnsi="Times New Roman"/>
          <w:sz w:val="14"/>
          <w:szCs w:val="14"/>
          <w:color w:val="auto"/>
        </w:rPr>
      </w:pPr>
    </w:p>
    <w:p>
      <w:pPr>
        <w:ind w:left="340" w:right="300" w:hanging="332"/>
        <w:spacing w:after="0" w:line="26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cost of revenues from contracts with customers and grants (exclusive of depreciation), cost of revenue from collaboration agreements (exclusive of depreciation) and cost of revenue from related party transactions (exclusive of depreciation).</w:t>
      </w:r>
    </w:p>
    <w:p>
      <w:pPr>
        <w:ind w:left="340" w:hanging="332"/>
        <w:spacing w:after="0" w:line="26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 non-GAAP financial measure, is calculated as net loss, excluding the impact of depreciation, interest income, net, stock-based compensation, change in fair value of warrant liabilities, change in fair value of SAFE liabilities, change in fair value of the FPA Put Option liability and Fixed Maturity Consideration, change in fair value of the Convertible Note and associated transaction costs, transaction costs on issuance of FPA, loss from equity method investees, net and other one-time costs related to the Business Combination and securities registration on Form S-4, our registration statement on Form S-1, and non-recurring regulatory matters. Adjusted EBITDA is a supplemental measure that is not a substitute for, or superior to, measures of financial performance prepared in accordance with US GAAP. Adjusted EBITDA does not represent, and should not be considered, an alternative to net income (loss), as determined in accordance with US GAAP. See “</w:t>
      </w:r>
      <w:r>
        <w:rPr>
          <w:rFonts w:ascii="Times New Roman" w:cs="Times New Roman" w:eastAsia="Times New Roman" w:hAnsi="Times New Roman"/>
          <w:sz w:val="14"/>
          <w:szCs w:val="14"/>
          <w:i w:val="1"/>
          <w:iCs w:val="1"/>
          <w:color w:val="auto"/>
        </w:rPr>
        <w:t>Non-GAAP Financial Measures</w:t>
      </w:r>
      <w:r>
        <w:rPr>
          <w:rFonts w:ascii="Times New Roman" w:cs="Times New Roman" w:eastAsia="Times New Roman" w:hAnsi="Times New Roman"/>
          <w:sz w:val="14"/>
          <w:szCs w:val="14"/>
          <w:color w:val="auto"/>
        </w:rPr>
        <w:t>” for additional information and reconciliation of Adjusted EBITDA to net loss, its most directly comparable US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Key Non-Financial Metrics: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40" w:type="dxa"/>
            <w:vAlign w:val="bottom"/>
          </w:tcPr>
          <w:p>
            <w:pPr>
              <w:spacing w:after="0"/>
              <w:rPr>
                <w:sz w:val="17"/>
                <w:szCs w:val="17"/>
                <w:color w:val="auto"/>
              </w:rPr>
            </w:pPr>
          </w:p>
        </w:tc>
        <w:tc>
          <w:tcPr>
            <w:tcW w:w="2300" w:type="dxa"/>
            <w:vAlign w:val="bottom"/>
          </w:tcPr>
          <w:p>
            <w:pPr>
              <w:jc w:val="right"/>
              <w:ind w:right="72"/>
              <w:spacing w:after="0"/>
              <w:rPr>
                <w:sz w:val="20"/>
                <w:szCs w:val="20"/>
                <w:color w:val="auto"/>
              </w:rPr>
            </w:pPr>
            <w:r>
              <w:rPr>
                <w:rFonts w:ascii="Times New Roman" w:cs="Times New Roman" w:eastAsia="Times New Roman" w:hAnsi="Times New Roman"/>
                <w:sz w:val="17"/>
                <w:szCs w:val="17"/>
                <w:b w:val="1"/>
                <w:bCs w:val="1"/>
                <w:color w:val="auto"/>
              </w:rPr>
              <w:t>(in thousands of tonnes per</w:t>
            </w:r>
          </w:p>
        </w:tc>
      </w:tr>
      <w:tr>
        <w:trPr>
          <w:trHeight w:val="227"/>
        </w:trPr>
        <w:tc>
          <w:tcPr>
            <w:tcW w:w="8940" w:type="dxa"/>
            <w:vAlign w:val="bottom"/>
          </w:tcPr>
          <w:p>
            <w:pPr>
              <w:spacing w:after="0"/>
              <w:rPr>
                <w:sz w:val="19"/>
                <w:szCs w:val="19"/>
                <w:color w:val="auto"/>
              </w:rPr>
            </w:pPr>
          </w:p>
        </w:tc>
        <w:tc>
          <w:tcPr>
            <w:tcW w:w="2300" w:type="dxa"/>
            <w:vAlign w:val="bottom"/>
          </w:tcPr>
          <w:p>
            <w:pPr>
              <w:jc w:val="right"/>
              <w:ind w:right="772"/>
              <w:spacing w:after="0"/>
              <w:rPr>
                <w:sz w:val="20"/>
                <w:szCs w:val="20"/>
                <w:color w:val="auto"/>
              </w:rPr>
            </w:pPr>
            <w:r>
              <w:rPr>
                <w:rFonts w:ascii="Times New Roman" w:cs="Times New Roman" w:eastAsia="Times New Roman" w:hAnsi="Times New Roman"/>
                <w:sz w:val="17"/>
                <w:szCs w:val="17"/>
                <w:b w:val="1"/>
                <w:bCs w:val="1"/>
                <w:color w:val="auto"/>
              </w:rPr>
              <w:t>annum)</w:t>
            </w:r>
          </w:p>
        </w:tc>
      </w:tr>
      <w:tr>
        <w:trPr>
          <w:trHeight w:val="23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Capacity as of September 30, 2023</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Capacity as of September 30, 2024</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bl>
    <w:p>
      <w:pPr>
        <w:spacing w:after="0" w:line="23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Capacity based on LanzaTech’s technology includes capacity by customers and our cost method investee, is one of the key drivers for the Company's licensing revenues given that they are usually contracted on a percentage-of-revenue, a dollars-per-tonne, or fixed-consideration basis.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75"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While we have offerings in multiple market segments and operate in multiple countries, we operate and manage our business as one reportable operating segment. Nearly all of our service offerings are delivered and supported on a global basis. Additionally, most of our service offerings are deployed in a similar way, and we evaluate our financial information and resources and assess the performance of these resources on a consolidated basis.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earn revenue through engineering and other services contracts, U.S. and foreign government contracts, joint development agreements, and licensing agreements, which, together, represent a single operating segment. Revenues can be viewed as a combination of the following:</w:t>
      </w:r>
    </w:p>
    <w:p>
      <w:pPr>
        <w:spacing w:after="0" w:line="108" w:lineRule="exact"/>
        <w:rPr>
          <w:sz w:val="20"/>
          <w:szCs w:val="20"/>
          <w:color w:val="auto"/>
        </w:rPr>
      </w:pPr>
    </w:p>
    <w:p>
      <w:pPr>
        <w:ind w:left="660" w:right="5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Biorefining which includes feasibility studies and engineering services for basic design, procurement and construction of commercial plants utilizing our technologies, and licensing of intellectual property and software when customers deploy our biorefining technology;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development and research services related to novel technologies and the development of biocatalysts;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CarbonSmart products to customers.</w:t>
      </w:r>
    </w:p>
    <w:p>
      <w:pPr>
        <w:spacing w:after="0" w:line="171" w:lineRule="exact"/>
        <w:rPr>
          <w:sz w:val="20"/>
          <w:szCs w:val="20"/>
          <w:color w:val="auto"/>
        </w:rPr>
      </w:pPr>
    </w:p>
    <w:p>
      <w:pPr>
        <w:ind w:right="1260"/>
        <w:spacing w:after="0" w:line="438" w:lineRule="auto"/>
        <w:rPr>
          <w:sz w:val="20"/>
          <w:szCs w:val="20"/>
          <w:color w:val="auto"/>
        </w:rPr>
      </w:pPr>
      <w:r>
        <w:rPr>
          <w:rFonts w:ascii="Times New Roman" w:cs="Times New Roman" w:eastAsia="Times New Roman" w:hAnsi="Times New Roman"/>
          <w:sz w:val="18"/>
          <w:szCs w:val="18"/>
          <w:color w:val="auto"/>
        </w:rPr>
        <w:t xml:space="preserve">Revenue is measured based on the consideration specified in customer contracts and excludes amounts collected on behalf of third parties. </w:t>
      </w:r>
      <w:r>
        <w:rPr>
          <w:rFonts w:ascii="Times New Roman" w:cs="Times New Roman" w:eastAsia="Times New Roman" w:hAnsi="Times New Roman"/>
          <w:sz w:val="18"/>
          <w:szCs w:val="18"/>
          <w:i w:val="1"/>
          <w:iCs w:val="1"/>
          <w:color w:val="auto"/>
        </w:rPr>
        <w:t>Biorefining</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provide feasibility studies and basic design and engineering services used for detailed design, procurement, and construction of commercial plants that utilize our technologies, along with the sale of equipment and microbes. The services provided are recognized as a performance obligation satisfied over time. Revenue is recognized using the cost-to-cost input method for certain engineering services or the percentage of completion method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 for the sale of microbes and media is recognized at a point in time, depending on when control transfers to the customer.</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license intellectual property to generate recurring revenue in the case of running royalties, or one-time revenue, in the case of fixed consideration royalties, when our customers deploy our technology in their biorefining plants. When licenses are considered to be distinct performance obligations, the recognition of revenue is dependent on the terms of the contract, which may include fixed consideration or royalties based on sales or usage, in which case, the revenue is recognized when the subsequent sale or usage occurs or when the performance obligation to which some or all of the sales or usage-based royalty is allocated or has been satisfied, whichever is later.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Development and Contract Research</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perform R&amp;D services related to novel technologies and the development of biocatalysts for commercial applications, mainly to produce fuels and chemicals. We engage in two main types of R&amp;D services – joint development agreements, and other contract research, including projects with the U.S. Department of Energy. Such services are recognized as a performance obligation satisfied over time. Revenue is recognized based on milestone completion, when payments are contingent upon the achievement of such milestones, or based on stage of contract or phase completion when enforceable rights to payment exist. When no milestones or stages are clearly defined, management has determined that the cost incurred, input method, is an appropriate measure of progress toward complete satisfaction of the performance obligations under ASC 606 and estimates its variable consideration under the expected value method.</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Revenue is not recognized in advance of customer acceptance of a milestone, when such acceptance is contractually required. Payments for R&amp;D services with no contractual payments are not due from customers until a technical report is submitted; therefore, a contract asset is recognized at milestone completion but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submission of a technical report. The contract asset represents the Company’s right to consideration for the services performed at milestone completion. Occasionally, customers provide payments in advance of us providing services which creates a contract liability for the Company. The contract liability represents our obligation to provide services to a customer.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CarbonSmart</w:t>
      </w:r>
    </w:p>
    <w:p>
      <w:pPr>
        <w:spacing w:after="0" w:line="17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sell CarbonSmart products and intermediaries directly to customers, that derive from the ethanol we purchased from our licensed plants using the Company's proprietary technologies. Revenue is recognized at a point in time when control transfers to the customer, which varies depending on the shipping terms. We generally act as the principal in such transactions and accordingly, recognize revenue and cost of revenues on a gross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Costs include both internal and third-party fixed and variable costs and include materials, supplies, labor, and fringe benefits. They also include R&amp;D costs associated with external projects, engineering, and other direct costs of services that are related to revenue agreements with customers, grantors, related parties, and collaborative partners, and represent costs of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R&amp;D costs associated with internal R&amp;D projects consist of personnel costs, external services, materials and supplies as well as various laboratory activities. Indirect R&amp;D costs include depreciation and other indirect overhead expenses. We expect our R&amp;D activities to increase in the future as revenue grows but decrease as a percentage of our overall cost 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("SG&amp;A") consist primarily of personnel costs, costs of general corporate development activities, travel-related expenses, and other indirect overhead costs.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 costs for our executive, finance, corporate and other administrative functions, intellectual property and patent costs, facilities and other allocated expenses, other expenses for outside professional services, including legal, human resources, audit and accounting services, and insurance costs. Our general and administrative expenses were higher in the first quarter of 2023 as a result of becoming a public company, including additional costs relating to compliance with the rules and regulations of the SEC and stock exchange rules, legal and audit services, additional insurance, investor relations activities, and other administrative and professional services. The costs have started to stabilize, but we expect them to remain at higher levels than they were prior to the Business Combination. We also expect our intellectual property expenses to increase as we expand and increase protection of our intellectual property portfolio.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expense, net relates to miscellaneous other income and expenses and foreign currency gains and losses. These items include the mark-to-market adjustments on all liability classified warrants, the FPA Put Option liability, the Fixed Maturity Consideration, Convertible Note, and SAFE liabilities. Interest income, net consists of income earned from our cash, cash equivalents and debt security investments. Our interest income has increased following the completion of the Business Combination as we invested the net proceeds in a variety of capital preservation financial instruments, including short-term, investment-grade, interest-bearing obligations of the U.S. government and its agencies.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from Equity Investees, Net</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hold interests in LanzaJet located in the United States, and the Shougang Joint Venture (SGLT) located in China which we have determined to be variable interest entities (“</w:t>
      </w:r>
      <w:r>
        <w:rPr>
          <w:rFonts w:ascii="Times New Roman" w:cs="Times New Roman" w:eastAsia="Times New Roman" w:hAnsi="Times New Roman"/>
          <w:sz w:val="18"/>
          <w:szCs w:val="18"/>
          <w:i w:val="1"/>
          <w:iCs w:val="1"/>
          <w:color w:val="auto"/>
        </w:rPr>
        <w:t>VIEs</w:t>
      </w:r>
      <w:r>
        <w:rPr>
          <w:rFonts w:ascii="Times New Roman" w:cs="Times New Roman" w:eastAsia="Times New Roman" w:hAnsi="Times New Roman"/>
          <w:sz w:val="18"/>
          <w:szCs w:val="18"/>
          <w:color w:val="auto"/>
        </w:rPr>
        <w:t>”) for which it has been determined we are not the primary beneficiary. Our variable interests primarily relate to entities in which we have a non-controlling equity interest. Although these financial arrangements resulted in holding variable interests in these entities, they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 empower us to direct the activities of the VIEs that most significantly impact the VIEs’ economic performance, therefore LanzaTech has determined it is not the primary beneficiary and does not currently consolidate these VIEs.</w:t>
      </w:r>
    </w:p>
    <w:p>
      <w:pPr>
        <w:spacing w:after="0" w:line="10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currently has a license agreement with SGLT and a letter agreement with SGLT and Sinopec Capital Co., Ltd related to the use of our intellectual property and potential collaborations. These agreements do not provide LanzaTech with the power to direct the activities that are most significant to the economic performance of these entities.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Through our holdings in LanzaJet, our representation on the board of directors and participation in the policy-making process, as well as the material intra-entity transactions, we have determined that we can exercise significant influence over the activities of LanzaJet. Our interest in LanzaJet is accounted for under the equity method of accounting, with income (loss) from equity method investees, net recognized in our consolidated statements of operations and comprehensive loss and equity method investments recognized on our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Current and deferred taxes are calculated based on tax rates enacted or substantively enacted at the reporting date and are recognized in profit or loss except when the tax relates to items charged or credited to other comprehensive income, in which case the tax is also recognized in other comprehensive income. Deferred tax is recognized in respect of temporary differences arising between the tax bases of assets and liabilities and their carrying amounts in the financial statements. Deferred tax assets including those relating to temporary differences, net operating loss carryforwards and tax credit carryforwards, are only recognized to the extent it is more likely than not that future taxable income will be available to utilize the temporary differences and carryforwards. Our net operating loss carryforwards are subject to shareholder continuity rules, and may be impacted by future fundraising activities.</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maintain a valuation allowance against the full value of our net deferred tax assets because management believes the recoverability of the tax assets is not more likely than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2024 Compared to Three Months Ended September 30, 2023</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our condensed consolidated financial statements and notes. The following table sets forth our consolidated results of operations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Pr>
          <w:p>
            <w:pPr>
              <w:spacing w:after="0"/>
              <w:rPr>
                <w:sz w:val="18"/>
                <w:szCs w:val="18"/>
                <w:color w:val="auto"/>
              </w:rPr>
            </w:pPr>
          </w:p>
        </w:tc>
        <w:tc>
          <w:tcPr>
            <w:tcW w:w="1680" w:type="dxa"/>
            <w:vAlign w:val="bottom"/>
            <w:gridSpan w:val="3"/>
          </w:tcPr>
          <w:p>
            <w:pPr>
              <w:jc w:val="center"/>
              <w:ind w:left="311"/>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for per share amounts)</w:t>
            </w:r>
          </w:p>
        </w:tc>
        <w:tc>
          <w:tcPr>
            <w:tcW w:w="3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3"/>
          </w:tcPr>
          <w:p>
            <w:pPr>
              <w:jc w:val="center"/>
              <w:ind w:left="311"/>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 (exclusive of depreciation shown below)</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(34,759)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(4,930)</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1201 %</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(18,671)</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(51,896)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(27,033)</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109 %</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Loss from equity method investees, net</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(57,431)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(32,105)</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127 %</w:t>
            </w:r>
          </w:p>
        </w:tc>
        <w:tc>
          <w:tcPr>
            <w:tcW w:w="0" w:type="dxa"/>
            <w:vAlign w:val="bottom"/>
          </w:tcPr>
          <w:p>
            <w:pPr>
              <w:spacing w:after="0"/>
              <w:rPr>
                <w:sz w:val="1"/>
                <w:szCs w:val="1"/>
                <w:color w:val="auto"/>
              </w:rPr>
            </w:pPr>
          </w:p>
        </w:tc>
      </w:tr>
      <w:tr>
        <w:trPr>
          <w:trHeight w:val="20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(57,479)</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(26,327)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(31,152)</w:t>
            </w:r>
          </w:p>
        </w:tc>
        <w:tc>
          <w:tcPr>
            <w:tcW w:w="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118 %</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 outstanding -</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197,773,376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195,869,537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Total revenue decreased $(9.7) million, or (49)%, in the three months ended September 30, 2024, compared to the same period in 2023. The decline was primarily driven by $(6.1) million decrease in revenue from engineering and other services contracts with existing customers and government entities whose projects reached completion of their current development phase. Revenue also decreased $(2.1) million in other contract research and $(1.0) million in joint development due to the completion of existing contracts. Licensing decreased by $(0.4) million and CarbonSmart revenue slightly decreased by $(0.1)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Cost of revenue decreased $(6.2) million, or (43)%, in the three months ended September 30, 2024, compared to the same period in 2023. This decrease is primarily driven by the cost of sales for engineering and other services which decreased $(5.1) million for contracts with existing customers and government entities. Cost of sales also decreased $(1.0) million million for other contract research and $(0.4) million for joint development arrangements. This decrease was offset by costs of sales for CarbonSmart products that increased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R&amp;D expense increased $5.4 million, or 32%, in the three months ended September 30, 2024 compared to the same period in 2023, primarily due to an increase of $4.9 million in R&amp;D services related to project development costs that are not currently eligible for capitalization or for which we do not have a customer as of September 30, 2024. The increase is also due to $0.5 million in personnel and contractors expenses related to R&amp;D projects. Consumables and facilities expenses were similar compared to the same period last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SG&amp;A expense decreased $(0.4) million, or (3)%, in the three months ended September 30, 2024 compared to the same period in 2023. This was primarily due to decrease in professional services fees of $(1.0) million. This decrease was offset by an increase of $0.4 million in personnel expenses and contractors to support growth, an increase of $0.1 million for facilities and consumable expenses and $0.1 million increase in bad debt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Interest income, net decreased $(0.5) million in the three months ended September 30, 2024 compared to the same period in 2023. The decrease is primarily attributable to lower interest earned on smaller cash balances held in savings, money market, and investment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increased $18.2 million in the three months ended September 30, 2024, compared to the same period in 2023, which is due to the overall net loss on changes in the fair value of our financial instruments, and specifically, the increase in fair value of the Convertible Note of $21.5 million caused by the decrease in the assumed conversion price during the three months ended September 30, 2024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2024 Compared to Nine Months Ended September 30, 2023</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our condensed consolidated financial statements and notes. The following table sets forth our consolidated results of operations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20" w:type="dxa"/>
            <w:vAlign w:val="bottom"/>
          </w:tcPr>
          <w:p>
            <w:pPr>
              <w:spacing w:after="0"/>
              <w:rPr>
                <w:sz w:val="18"/>
                <w:szCs w:val="18"/>
                <w:color w:val="auto"/>
              </w:rPr>
            </w:pPr>
          </w:p>
        </w:tc>
        <w:tc>
          <w:tcPr>
            <w:tcW w:w="1740" w:type="dxa"/>
            <w:vAlign w:val="bottom"/>
            <w:gridSpan w:val="3"/>
          </w:tcPr>
          <w:p>
            <w:pPr>
              <w:jc w:val="center"/>
              <w:ind w:left="23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for per share amounts)</w:t>
            </w: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3"/>
          </w:tcPr>
          <w:p>
            <w:pPr>
              <w:jc w:val="center"/>
              <w:ind w:left="251"/>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7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(exclusive of depreciation shown below)</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Loss from equity method investees, net</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(110,936)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(116,378)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5,442</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 outstanding -</w:t>
            </w: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197,499,156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169,797,443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Total revenue decreased $(4.6) million, or (11)%, in the nine months ended September 30, 2024, compared to the same period in 2023. The decline was primarily driven by a $(11.1) million decrease in revenue from engineering and other services from contracts with existing customers and government entities whose projects reached completion of their current development phase. Revenue from other contract research also decreased $(1.6) million. These decreases were partially offset by an increase of $7.3 million in revenue from licensing, an increase of $0.7 million in CarbonSmart revenue and an increase of $0.1 million in revenue from joint development arrangements.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 of revenue decreased $(12.6) million, or (38)%, in the nine months ended September 30, 2024, compared to the same period in 2023. Cost of sales for engineering and other services decreased $(12.7) million for contracts with existing customers and government entities and $(0.7) million for joint development agreements, partially offset by $1.2 million increase in cost of revenue for CarbonSmart products and $(0.4) million increase in cost of sales for other contract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R&amp;D expense increased $8.7 million, or 17%, in the nine months ended September 30, 2024, compared to the same period in 2023, primarily due to an increase of $9.1 million in external R&amp;D services related to project development costs that are not currently eligible for capitalization nor tied to revenue agreements, and an increase of $0.8 million in facilities and consumables expenses. Personnel and contractors expenses related to R&amp;D projects decreased by $(1.2) million, mainly due to lower stock compensation expense, compared to the same period last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SG&amp;A expense decreased $(6.9) million, or (17)%, in the nine months ended September 30, 2024, compared to the same period in 2023. This was primarily due to a decrease of $(4.1) million in professional fees associated with the Business Combination, as well as $(1.4) million in lower stock compensation and one-time expenses, compared to the same period last year. The decrease was also attributable to $(1.4) million in bad debt expense recorded in the comparative period and recovered in the current period. Consumables and facilities expenses were similar compared to the same period last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Interest income, net decreased $(0.7) million in the nine months ended September 30, 2024 compared to the same period in 2023. This was primarily attributable to interest earned on lower cash balances held in savings and money market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expense, net decreased $6.6 million, in the nine months ended September 30, 2024 compared to the same period in 2023, due to a lower net loss from the change in fair value of our financial instruments in the nine months ended September 30, 2024, compared to the same period in 2023, including the Convertible Note’s increase in fair value caused by the decrease in the assumed conversion price. In the nine months ended September 30, 2023, the higher net loss from the change in fair value of our financial instruments was primarily due to the FPA’s increase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comprise cash on hand, demand deposits at banks, and other short-term, highly liquid investments with original maturity of three months or less that are readily convertible to known amounts of cash and which are subject to an insignificant risk of changes in value.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balances of our cash, cash equivalents and restricted cash as of September 30, 2024 and December 31,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60" w:type="dxa"/>
            <w:vAlign w:val="bottom"/>
            <w:gridSpan w:val="5"/>
          </w:tcPr>
          <w:p>
            <w:pPr>
              <w:ind w:left="90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380" w:type="dxa"/>
            <w:vAlign w:val="bottom"/>
          </w:tcPr>
          <w:p>
            <w:pPr>
              <w:spacing w:after="0"/>
              <w:rPr>
                <w:sz w:val="20"/>
                <w:szCs w:val="20"/>
                <w:color w:val="auto"/>
              </w:rPr>
            </w:pPr>
          </w:p>
        </w:tc>
        <w:tc>
          <w:tcPr>
            <w:tcW w:w="1760" w:type="dxa"/>
            <w:vAlign w:val="bottom"/>
          </w:tcPr>
          <w:p>
            <w:pPr>
              <w:jc w:val="center"/>
              <w:ind w:left="23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700" w:type="dxa"/>
            <w:vAlign w:val="bottom"/>
          </w:tcPr>
          <w:p>
            <w:pPr>
              <w:spacing w:after="0"/>
              <w:rPr>
                <w:sz w:val="20"/>
                <w:szCs w:val="20"/>
                <w:color w:val="auto"/>
              </w:rPr>
            </w:pPr>
          </w:p>
        </w:tc>
      </w:tr>
      <w:tr>
        <w:trPr>
          <w:trHeight w:val="228"/>
        </w:trPr>
        <w:tc>
          <w:tcPr>
            <w:tcW w:w="49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for percentages)</w:t>
            </w:r>
          </w:p>
        </w:tc>
        <w:tc>
          <w:tcPr>
            <w:tcW w:w="17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b w:val="1"/>
                <w:bCs w:val="1"/>
                <w:color w:val="auto"/>
                <w:w w:val="98"/>
              </w:rPr>
              <w:t>December 31, 2023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center"/>
              <w:ind w:left="233"/>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700" w:type="dxa"/>
            <w:vAlign w:val="bottom"/>
            <w:tcBorders>
              <w:top w:val="single" w:sz="8" w:color="auto"/>
            </w:tcBorders>
          </w:tcPr>
          <w:p>
            <w:pPr>
              <w:spacing w:after="0"/>
              <w:rPr>
                <w:sz w:val="19"/>
                <w:szCs w:val="19"/>
                <w:color w:val="auto"/>
              </w:rPr>
            </w:pP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(15,317)</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3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September 30, 2024, compared to December 31, 2023, LanzaTech’s cash, cash equivalents, and restricted cash decreased by $(15.3) million, or (20)%, primarily due to funding the net loss adjusted for non-cash charges (see cash flow section below) and purchases of property, plant and equipment. The decrease was offset by the proceeds from the maturity of certain debt securities and the issuance of the Convertible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Security Investments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Debt security investments comprise mainly held-to-maturity U.S. Treasury and high quality corporate securities that the Company has both the ability and intent to hold to maturity. These securities all mature within one year and will provide additional liquidity upon maturity. As of September 30, 2024, held-to-maturity security investments totaled $28.1 million, compared to $45.2 million as of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financed our operations primarily through equity and debt financing.</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ability to successfully develop products and expand our business depends on many factors, including our ability to meet working capital needs, the availability of equity or debt financing and, over time, our ability to generate cash flows from operations. We manage our capital to ensure that LanzaTech can continue as a going concern while maximizing the return to stakeholders through the optimization of debt and equity balances.</w:t>
      </w:r>
    </w:p>
    <w:p>
      <w:pPr>
        <w:spacing w:after="0" w:line="12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2024, our capital structure consists of equity (comprising issued capital, and accumulated deficit), the Brookfield SAFE and the Convertible Note. We are not subject to any externally imposed capital requirements.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October 2, 2022, LanzaTech entered into the Brookfield SAFE with Brookfield and received a cash payment of $50.0 million as the Initial Purchase Amount. In exchange, the Company granted to Brookfield the right to receive certain shares of the Company's common stock. Following the closing of the Business Combination, Brookfield may, at any time at its option, convert all or a portion of the Initial Purchase Amount less any amount that has already been converted or repaid into shares of common stock.</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LanzaTech’s outstanding debt comprises the Convertible Note, the Brookfield SAFE, the FPA Put Option Liability and the Fixed Maturity Consideration, which are all classified as liabilities for accounting purposes, on its condensed consolidated balance sheets as of September 30, 2024.</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 2023, LanzaTech purchased $5.5 million of Subordinated Secured Notes in a funding round for LanzaJet's subsidiary Freedom Pines Fuels LLC. The Subordinated Secured Notes are secured by a security interest over the intellectual property owned or in-licensed by LanzaJet. LanzaJet provides a guarantee that the proceeds are being used for any costs and expenses required to complete the initial facility and achieve commercial operation.</w:t>
      </w:r>
    </w:p>
    <w:p>
      <w:pPr>
        <w:spacing w:after="0" w:line="13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3, 2023, LanzaTech, AMCI and ACM executed a Forward Purchase Agreement (the “FPA”). On the same date, ACM partially assigned its rights under the FPA to Vellar. ACM and Vellar are together referred to as the “Purchasers”. Pursuant to the FPA, the Purchasers obtained 5,916,514 shares of common stock on the open market for approximately $10.16 per share (“Redemption Price”), and the purchase price of $60.1 million was funded by the use of AMCI trust account proceeds as a partial prepayment (“Prepayment Amount”) for the FPA redemption 3 years from the date of the Business Combination (the “FPA Maturity Date”). The FPA Maturity Date may be accelerated, at the Purchasers’ discretion, if the Company’s volume-weighted average share price is below $3.00 per share for any 50 trading days during a 60 day consecutive trading-day period (the “VWAP Condition”) or if the Company is delisted. The Purchasers have the option to early terminate the arrangement in whole or in part by providing optional early termination notice to the Company (the “Optional Early Termination”). For those shares early terminated (the “Terminated Shares”), the Purchasers will owe the Company an amount equal to the Terminated Shares times the Redemption Price, which may be reduced in the case of certain dilutive events (“Reset Price”).</w:t>
      </w:r>
    </w:p>
    <w:p>
      <w:pPr>
        <w:spacing w:after="0" w:line="2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the FPA Maturity Date, the Company is obligated to pay the Purchasers an amount equal to the product of (1) 7,500,000 less the number of Terminated Shares multiplied by (2) $2.00 (the “Maturity Consideration”), which under the FPA is payable at the Company’s option in cash or shares of common stock valued at the average daily VWAP Price (as defined in the FPA) over the 30 scheduled trading days ending on the FPA Maturity Date. In addition to the Maturity Consideration, on the FPA Maturity Date, the Company is obligated to pay the Purchasers an amount equal to the product of (x) 500,000 and (y) the Redemption Price, totaling $5.1 million (the “Share Consideration”), which under the FPA is payable in cash. However, at the time, the Company may not have sufficient funds or be able to obtain financing from third parties to pay such amounts. The Company also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have sufficient shares authorized to pay the Maturity Consideration in shares. Breach by the Company of any of these obligations could constitute an event of default under the FPA, which could subject the Company to financial exposure thereunder (including arising from potential indemnification claims by a Purchaser). In addition, future debt or other contractual agreements may contain cross-default or cross-acceleration provisions that could be triggered if we default on our obligations to the Purchasers. Any or all of these consequences could have material adverse impact on us.</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relation to the FPA, the Company’s volume-weighted average share price was below $3.00 per share for 50 trading days during the 60 day consecutive trading period ended on July 1, 2024 (satisfying the VWAP Condition). On July 22, 2024, Vellar notified the Company of the satisfaction of the VWAP Condition, purporting to accelerate the FPA Maturity Date of its portion of the Recycled Shares (i.e., 2,990,000 common shares) to July 22, 2024. Vellar asserts that it is entitled to: (i) Maturity Consideration of $7.5 million (payable at the Company’s option in cash or shares of common stock valued at the average daily VWAP Price (as defined in the FPA) over 30 scheduled trading days ending on the accelerated FPA Maturity Date of July 22, 2024 of $1.91 per share) and (ii) Share Consideration of approximately $2.5 million, payable in cash, each due and payable on July 24, 2024. On July 25, 2024, the Company received a notice from Vellar pursuant to the FPA, stating that the Company is in default of its payment obligations. On July 30, 2024, the Company received a notice of an event of default under the FPA from Vellar that (i) designated such date as the early termination date of the FPA and (ii) purports to result in an early termination cash payment of approximately $4.2 million becoming due to Vellar (equating to the sum of the Maturity Consideration and the Share Consideration minus the VWAP Price (as defined in the FPA) (as of July 29, 2024) of Vellar’s portion of the Recycled Shares) (see Part II – Item 1. Legal Proceedings). Refer to </w:t>
      </w:r>
      <w:r>
        <w:rPr>
          <w:rFonts w:ascii="Times New Roman" w:cs="Times New Roman" w:eastAsia="Times New Roman" w:hAnsi="Times New Roman"/>
          <w:sz w:val="18"/>
          <w:szCs w:val="18"/>
          <w:i w:val="1"/>
          <w:iCs w:val="1"/>
          <w:color w:val="auto"/>
        </w:rPr>
        <w:t>Note 10 - Forward Purchase Agreement</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4, 2024, ACM delivered to the Company notice of satisfaction of the VAP Condition which accelerated the FPA MAturity Date with respect to ACM’s portion of the FPA. On October 15, 2024 and October 21, 2024, the Company paid in cash to ACM $2.5 million in Share Consideration and</w:t>
      </w:r>
    </w:p>
    <w:p>
      <w:pPr>
        <w:ind w:right="120"/>
        <w:spacing w:after="0" w:line="260" w:lineRule="auto"/>
        <w:rPr>
          <w:sz w:val="20"/>
          <w:szCs w:val="20"/>
          <w:color w:val="auto"/>
        </w:rPr>
      </w:pPr>
      <w:r>
        <w:rPr>
          <w:rFonts w:ascii="Times New Roman" w:cs="Times New Roman" w:eastAsia="Times New Roman" w:hAnsi="Times New Roman"/>
          <w:sz w:val="18"/>
          <w:szCs w:val="18"/>
          <w:color w:val="auto"/>
        </w:rPr>
        <w:t>$7.5 million in Maturity Consideration respectively, and ACM subsequently returned its Recycled Shares to the Company. As a result, the Company’s and ACM’s obligations under the FPA have been fully satisfied</w:t>
      </w:r>
    </w:p>
    <w:p>
      <w:pPr>
        <w:spacing w:after="0" w:line="1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May 9, 2024, the Company entered into an At Market Issuance Sales Agreement (the “Sales Agreement”) and a Terms Agreement (the “Terms Agreement” and, together with the Sales Agreement, the “ATM Agreements”) with B. Riley Securities, Inc. (“B. Riley Securities”), pursuant to which the Company may, from time to time, offer and sell through or to B. Riley Securities, as sales agent or principal, shares of the Company’s common stock, having an aggregate offering price of up to $100 million. The shares will be offered through or to B. Riley Securities, acting as agent in connection with agency transactions or as principal in connection with any principal transactions. Pursuant to the Terms Agreement, the Company will have the right, but not the obligation, from time to time at its sole discretion, for as long as the Sales Agreement remains effective, to direct B. Riley Securities on any trading day to act on a principal basis and purchase up to the maximum of the lesser of a) 50% of the prior daily trading volume, or b) approximately $0.2 million per day as long as the closing price on the day prior exceeds $1, and approximately up to $0.9 million per week, and up to $40 million per twelve-month period, subject to any applicable limitations pursuant to the rules and regulations of The Nasdaq Stock Market, LLC (the aggregate amount so purchased by B. Riley Securities under the Terms Agreement, the “Commitment”), which Commitment will be included within the aggregate offering price of up to $100 million of Common Stock sold pursuant to the ATM Agreements; provided, however, that only one principal sale may be requested per day unless otherwise agreed to by B. Riley Securities.</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5, 2024, the Company entered into a Convertible Note Purchase Agreement (the “Convertible Note Purchase Agreement”) with an accredited investor (the “Investor”) pursuant to which the Company agreed to sell and issue to the Investor and other purchasers in a private placement transaction (the “Private Placement”) in one or more closings up to an aggregate principal amount of $150 million of convertible notes. As of August 6, 2024, we issued and sold $40.2 million of convertible notes to the Investor pursuant to the Convertible Note Purchase Agreement (the “Convertible Note”). The gross proceeds from the initial closing are approximately $40 million, before deducting 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Convertible Note bears interest at a fixed rate of 8.00% per annum, which interest will be added to the outstanding principal amount of the Convertible Note on the last day of the applicable interest period (beginning on the date of issuance of the Convertible Note and ending on and including the earlier of</w:t>
      </w:r>
    </w:p>
    <w:p>
      <w:pPr>
        <w:ind w:right="440" w:firstLine="8"/>
        <w:spacing w:after="0" w:line="26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anniversary date of such issuance and (y) the maturity date, the “Interest Period”); provided, however, that the Company is permitted to pay all interest payable during an Interest Period in cash upon prior written notice to the Convertible Note holder.</w:t>
      </w:r>
    </w:p>
    <w:p>
      <w:pPr>
        <w:spacing w:after="0" w:line="11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 xml:space="preserve">The Convertible Note will mature on August 6, 2029 (the “Maturity Date”), unless earlier redeemed or converted in accordance with their terms. The Convertible Note is subject to mandatory conversion for shares of the Company’s common stock, par value $0.0001 per share, upon the completion by the Company of an equity financing prior to the Convertible Note Maturity Date that results in the Company receiving minimum gross proceeds in an amount that is equal to the greater of (i) $40 million and (ii) 50% of the total principal amount under the outstanding convertible notes immediately following the final closing under the Convertible Note Purchase Agreement (a “Qualified Equity Financing”) at a conversion price equal to the lower of (i) the lowest per-share selling price per share in the Qualified Equity Financing, less a 10% discount and (ii) the Valuation Cap (as defined below). The Convertible Note is convertible at the option of the holders upon the completion by the Company of an equity financing prior to the Convertible Note Maturity Date that does not meet the definition of a Qualified Equity Financing (a “Non-Qualified Equity Financing”) at a conversion price equal to the lower of (i) the lowest per-share selling price in the Non-Qualified Equity Financing and (ii) the Valuation Cap. The Convertible Noteis also convertible at the option of the holders any time prior to the Maturity Date at a conversion price equal to the Valuation Cap. The “Valuation Cap” $1.25 per share), and (ii) with respect to a Convertible Note issued at any closing subsequent to the initial closing under the Convertible Note Purchase Agreement, the price per share equal to the </w:t>
      </w:r>
      <w:r>
        <w:rPr>
          <w:rFonts w:ascii="Times New Roman" w:cs="Times New Roman" w:eastAsia="Times New Roman" w:hAnsi="Times New Roman"/>
          <w:sz w:val="18"/>
          <w:szCs w:val="18"/>
          <w:i w:val="1"/>
          <w:iCs w:val="1"/>
          <w:color w:val="auto"/>
        </w:rPr>
        <w:t xml:space="preserve">greater </w:t>
      </w:r>
      <w:r>
        <w:rPr>
          <w:rFonts w:ascii="Times New Roman" w:cs="Times New Roman" w:eastAsia="Times New Roman" w:hAnsi="Times New Roman"/>
          <w:sz w:val="18"/>
          <w:szCs w:val="18"/>
          <w:color w:val="auto"/>
        </w:rPr>
        <w:t>of (a) $1.56 and (b) the closing price per share of the Company’s common stock on the date prior to such closing. The Valuation Cap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based on the Company’s holdings in LanzaJet, and the conversion price in all cases is subject to adjustment for stock splits, reclassifications, redesignations, subdivisions, recapitalizations, and dividends. As of the date of this filing no Qualified Equity Financing nor Non-Qualifying Financing events have occurred.</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Convertible Note may not be prepaid or redeemed by the Company, either in whole or in part, without the consent of the holder , provided that the Company may redeem and the Convertible Note without such consent (i) until August 6, 2025, in an amount equal to one and one half times the redeemed principal amount thereof; (ii) between August 7, 2025 and August 6, 2027, in an amount equal to two times the redeemed principal amount; and (iii) after August 6, 2027, in an amount equal to three times the redeemed principal amount; in all such cases, any and all accrued and unpaid interest to have been repaid in connection with the redemption.</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continue to seek additional financing under the Convertible Note Purchase Agreement from certain institutional accredited investors with whom we have a preexisting substantive relationship. We currently have no commitments from any such investors to participate in the convertible note financing or any other financing. There can be no assurance that we will be successful in our effort to secure additional financing in amounts and on terms acceptable to us.</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assuming we will continue as a going concern. However, near-term, we expect to continue to generate operating losses and to have net cash outflows from operating activities.</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believe our existing cash and cash equivalents will be sufficient to fund our operations for the next 12 months from the date of this Quarterly Report. However, our liquidity assumptions may prove to be incorrect, and we could utilize our available financial resources sooner than we currently expect, including within the next 12 months. Our future capital requirements and the adequacy of available funds will depend on many factors, including those set forth in Part I, Item 1A of our Annual Report on Form 10-K under “Risk Factors” and in Part II, Item 1A of this Quarterly Report. In addition, we from time to time, evaluate financing alternatives to enhance the Company’s liquidity position, including the sale of securities, the incurrence of debt or other financing alternatives.</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determine that we require additional financing to meet our operating requirements, we may be unable to secure such financing on acceptable terms, or at all. If we raise additional funds by issuing equity and/or convertible debt securities, dilution to our existing stockholders will result. If we raise additional financing and incur indebtedness, we would be subject to increased fixed payment obligations and could also be subject to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restrictive covenants, such as limitations on our ability to incur additional debt, limitations on our ability to acquire, sell or license intellectual property rights and other operating restrictions that could adversely impact our ability to conduct our business. If we are unable to obtain additional funds, we will have to reduce our operating costs, which will cause a delay or reduction in our technology development and commercialization programs.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normal course of our business, we also enter into purchase commitments or other transactions in which we make representations and warranties that relate to the performance of our goods and services. We do not expect material losses related to these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quarters ended September 30,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flows for the nine months ended September 30, 2024 and September 30,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Pr>
          <w:p>
            <w:pPr>
              <w:spacing w:after="0"/>
              <w:rPr>
                <w:sz w:val="18"/>
                <w:szCs w:val="18"/>
                <w:color w:val="auto"/>
              </w:rPr>
            </w:pPr>
          </w:p>
        </w:tc>
        <w:tc>
          <w:tcPr>
            <w:tcW w:w="2000" w:type="dxa"/>
            <w:vAlign w:val="bottom"/>
            <w:gridSpan w:val="3"/>
          </w:tcPr>
          <w:p>
            <w:pPr>
              <w:jc w:val="center"/>
              <w:ind w:left="3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Pr>
          <w:p>
            <w:pPr>
              <w:spacing w:after="0"/>
              <w:rPr>
                <w:sz w:val="18"/>
                <w:szCs w:val="18"/>
                <w:color w:val="auto"/>
              </w:rPr>
            </w:pPr>
          </w:p>
        </w:tc>
      </w:tr>
      <w:tr>
        <w:trPr>
          <w:trHeight w:val="211"/>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3"/>
          </w:tcPr>
          <w:p>
            <w:pPr>
              <w:jc w:val="center"/>
              <w:ind w:left="333"/>
              <w:spacing w:after="0"/>
              <w:rPr>
                <w:sz w:val="20"/>
                <w:szCs w:val="20"/>
                <w:color w:val="auto"/>
              </w:rPr>
            </w:pPr>
            <w:r>
              <w:rPr>
                <w:rFonts w:ascii="Times New Roman" w:cs="Times New Roman" w:eastAsia="Times New Roman" w:hAnsi="Times New Roman"/>
                <w:sz w:val="16"/>
                <w:szCs w:val="16"/>
                <w:b w:val="1"/>
                <w:bCs w:val="1"/>
                <w:color w:val="auto"/>
                <w:w w:val="99"/>
              </w:rPr>
              <w:t>2024 vs. 2023</w:t>
            </w:r>
          </w:p>
        </w:tc>
        <w:tc>
          <w:tcPr>
            <w:tcW w:w="880" w:type="dxa"/>
            <w:vAlign w:val="bottom"/>
            <w:tcBorders>
              <w:top w:val="single" w:sz="8" w:color="auto"/>
              <w:bottom w:val="single" w:sz="8" w:color="auto"/>
            </w:tcBorders>
          </w:tcPr>
          <w:p>
            <w:pPr>
              <w:spacing w:after="0"/>
              <w:rPr>
                <w:sz w:val="18"/>
                <w:szCs w:val="18"/>
                <w:color w:val="auto"/>
              </w:rPr>
            </w:pPr>
          </w:p>
        </w:tc>
      </w:t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cash provided by (used in):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(107,048)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155"/>
        </w:trPr>
        <w:tc>
          <w:tcPr>
            <w:tcW w:w="46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(decrease) increase in cash, cash equivalents, and restricted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flows used in operating activities decreased $12.2 million or 15% in the nine months ended September 30, 2024 compared to the nine months ended September 30, 2023. The decrease is primarily attributable to the lower net loss, net of non-cash items in the nine months ended September 30, 2024 compared to the nine months ended September 30, 2023. Additionally, the Company had cash outflows of $4.1 million related to costs incurred for the Business Combination that were classified as cash flows from operating activities during the nine months ended September 30, 2023, which did not recur in the current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Investing Activities</w:t>
      </w:r>
    </w:p>
    <w:p>
      <w:pPr>
        <w:spacing w:after="0" w:line="17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2024, net cash provided by investing activities was $14.1 million, compared to net cash used by investing activities of $(56.5) million in the nine months ended September 30, 2023. The change is primarily driven by the purchase of debt securities of $(43.9) million in the nine months ended September 30, 2023 net of proceeds from matured debt securities, which did not recur in the current period. The Company received proceeds from the maturity of a portion of the debt securities of $44.8 million in the nine months ended September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2024, net cash from financing activities was $40.2 million, compared to net cash provided by financing activities of $147.3 million in the nine months ended September 30, 2023. The cash inflow in the prior period was driven by $213.4 million in proceeds from the Business Combination and PIPE financing and proceeds of $1.6 million from the exercise of options to acquire shares of common stock of the Company. This was partially offset by the FPA prepayment amount of $60.1 million and by the repurchase of equity instruments of $7.7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we did not engage in any off-balance sheet arrangements, including the use of structured finance, special purpose entities or variable interest entities.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Management Estimates</w:t>
      </w:r>
    </w:p>
    <w:p>
      <w:pPr>
        <w:spacing w:after="0" w:line="162" w:lineRule="exact"/>
        <w:rPr>
          <w:sz w:val="20"/>
          <w:szCs w:val="20"/>
          <w:color w:val="auto"/>
        </w:rPr>
      </w:pPr>
    </w:p>
    <w:p>
      <w:pPr>
        <w:ind w:right="120" w:firstLine="648"/>
        <w:spacing w:after="0" w:line="22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that have been prepared in accordance with US GAAP. The preparation of these financial statements requires us to make estimates and assumptions that affect the reported amounts of assets, liabilities, revenues, expenses, and related disclosures. We consider an accounting estimate to be critical to the condensed consolidated financial statements if the estimate is complex in nature or requires a high degree of judgment and if actual results may differ from these estimates with any such differences being potentially material. Our estimates are based on our historical experience and on various other factors that we believe are reasonable under the circumstances. We evaluate our estimates and assumptions on an ongoing basis. A discussion of our critical accounting policies and estimates may be found in the Company’s Annual Report on Form 10-K, which was filed with the SEC on February 29, 2024 in “Management’s Discussion and Analysis of Financial Condition and Results of Operations” under the heading “Critical Accounting Policies and Management Estimates”. As of September 30, 2024, we added one critical accounting policies and estimates, as follow: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16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Note . At issuance, the fair value approximates the principal amount of the Convertible Note. As of September 30, 2024, the estimate of the fair value was determined using a binomial lattice model which generates a distribution of stock prices over the term of the note, calculates the associated payoff for the note, and discounts the probability-weighted values from the lattice back to the valuation date. The fair value was estimated by using assumptions that market participants would use in pricing a convertible debt instrument, including market interest rates, credit rating, yield curves, and volatilities.</w:t>
      </w:r>
    </w:p>
    <w:p>
      <w:pPr>
        <w:spacing w:after="0" w:line="12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fair value measurement of the debt was determined using Level 3 inputs and assumptions unobservable in the market. Changes in the fair value of debt that is accounted for at fair value, inclusive of related accrued interest expense, are presented as gains or losses in the accompanying unaudited condensed consolidated statements of operations and comprehensive income (loss) under change in fair value of debt. The portion of total changes in fair value of debt attributable to changes in instrument-specific credit risk are determined through specific measurement of periodic changes in the discount rate assumption exclusive of base market changes and are presented as a component of comprehensive income (loss) in the accompanying unaudited condensed consolidated statements of operations and comprehensive income (loss).</w:t>
      </w:r>
    </w:p>
    <w:p>
      <w:pPr>
        <w:spacing w:after="0" w:line="133"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assumptions underlying these valuations represented our best estimate, which involved inherent uncertainties and the application of judgment. If we had used different assumptions or estimates, the estimated fair value of the instruments described above could have been materially different.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To supplement our financial statements presented in accordance with US GAAP and to provide investors with additional information regarding our financial results, we have presented adjusted EBITDA, a non-GAAP financial measure. Adjusted EBITDA is not based on any standardized methodology prescribed by US GAAP and is not necessarily comparable to similarly titled measures presented by other companies.</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adjusted EBITDA as our net loss, excluding the impact of depreciation, interest income, net, stock-based compensation, change in fair value of warrant liabilities, change in fair value of SAFE liabilities, change in fair value of the FPA Put Option liability and Fixed Maturity Consideration, change in fair value of the Convertible Note and associated transaction costs, transaction costs on issuance of FPA, loss from equity method investees, net and other one-time costs related to the Business Combination and securities registration on Form S-4, our registration statement on Form S-1, and non-recurring regulatory matters. We monitor and have presented in this Quarterly Report adjusted EBITDA because it is a key measure used by our management and the Board to understand and evaluate our operating performance, to establish budgets, and to develop operational goals for managing our business. We believe adjusted EBITDA helps identify underlying trends in our business that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otherwise be masked by the effect of certain expenses that we include in net loss. Accordingly, we believe adjusted EBITDA provides useful information to investors, analysts, and others in understanding and evaluating our operating results and enhancing the overall understanding of our past performance and future prospects.</w:t>
      </w:r>
    </w:p>
    <w:p>
      <w:pPr>
        <w:spacing w:after="0" w:line="12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Adjusted EBITDA is not prepared in accordance with US GAAP and should not be considered in isolation of, or as an alternative to, measures prepared in accordance with US GAAP. There are a number of limitations related to the use of adjusted EBITDA rather than net loss, which is the most directly comparable financial measure calculated and presented in accordance with US GAAP. For example, adjusted EBITDA: (i) excludes stock-based compensation expense because it is a significant non-cash expense that is not directly related to our operating performance; (ii) excludes depreciation expense and, although this is a non-cash expense, the assets being depreciated and amortized may have to be replaced in the future; (iii) excludes gain or losses on equity method investee; and (iv) excludes certain income or expense items that do not provide a comparable measure of our business performance. In addition, the expenses and other items that we exclude in our calculations of adjusted EBITDA may differ from the expenses and other items, if any, that other companies may exclude from adjusted EBITDA when they report their operating results. In addition, other companies may use other measures to evaluate their performance, all of which could reduce the usefulness of our non-GAAP financial measures as tools for comparison.</w:t>
      </w:r>
    </w:p>
    <w:p>
      <w:pPr>
        <w:spacing w:after="0" w:line="13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to net loss, the most directly comparable financial measure calculated and presented in accordance with US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Loss to Adjusted EBITDA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20"/>
                <w:szCs w:val="20"/>
                <w:color w:val="auto"/>
              </w:rPr>
            </w:pPr>
          </w:p>
        </w:tc>
        <w:tc>
          <w:tcPr>
            <w:tcW w:w="2840" w:type="dxa"/>
            <w:vAlign w:val="bottom"/>
            <w:gridSpan w:val="4"/>
          </w:tcPr>
          <w:p>
            <w:pPr>
              <w:jc w:val="right"/>
              <w:ind w:right="15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(115,424)</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175"/>
        </w:trPr>
        <w:tc>
          <w:tcPr>
            <w:tcW w:w="5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expense and change in fair value of SAFE</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51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and warrant liabilities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175"/>
        </w:trPr>
        <w:tc>
          <w:tcPr>
            <w:tcW w:w="5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the FPA Put Option and Fixed Maturity</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liabilities (net of interest accretion reversal)</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44,661</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 and related transaction costs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 on issuance of FPA</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investees, net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175"/>
        </w:trPr>
        <w:tc>
          <w:tcPr>
            <w:tcW w:w="5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One-time costs related to the Business Combination, initial securities</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51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registration and non-recurring regulatory matters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(27,081)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(19,062)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(66,981)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(66,398)</w:t>
            </w:r>
          </w:p>
        </w:tc>
      </w:tr>
      <w:tr>
        <w:trPr>
          <w:trHeight w:val="21"/>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 represents expense related to equity compensation plans.</w:t>
      </w:r>
    </w:p>
    <w:p>
      <w:pPr>
        <w:spacing w:after="0" w:line="241" w:lineRule="exact"/>
        <w:rPr>
          <w:rFonts w:ascii="Times New Roman" w:cs="Times New Roman" w:eastAsia="Times New Roman" w:hAnsi="Times New Roman"/>
          <w:sz w:val="14"/>
          <w:szCs w:val="14"/>
          <w:color w:val="auto"/>
        </w:rPr>
      </w:pPr>
    </w:p>
    <w:p>
      <w:pPr>
        <w:ind w:left="340" w:right="260" w:hanging="332"/>
        <w:spacing w:after="0" w:line="28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related to the Business Combination that do not meet the direct and incremental criteria per SEC Staff Accounting Bulletin Topic 5.A to be charged against the gross proceeds of the transaction, but are not expected to recur in the future, as well as costs incurred subsequent to deal close related to our securities registration on Form S-4 and our registration statement on Form S-1. Regulatory matters includes fees related to non-recurring items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right="240"/>
        <w:spacing w:after="0" w:line="220" w:lineRule="exact"/>
        <w:rPr>
          <w:sz w:val="20"/>
          <w:szCs w:val="20"/>
          <w:color w:val="auto"/>
        </w:rPr>
      </w:pPr>
      <w:r>
        <w:rPr>
          <w:rFonts w:ascii="Times New Roman" w:cs="Times New Roman" w:eastAsia="Times New Roman" w:hAnsi="Times New Roman"/>
          <w:sz w:val="18"/>
          <w:szCs w:val="18"/>
          <w:color w:val="auto"/>
        </w:rPr>
        <w:t>We are exposed to a variety of market and other risks, including the effects of changes in interest rates, inflation and foreign currency translation and transaction risks, as well as risks to the availability of funding sources, hazard events and specific asset risks. Our market risk exposure is expected to be limited to risks that arise in the normal course of business, as we do not engage in speculative,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transactions, nor do we use financial instruments or derivative instruments for trading purposes.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Fluctuation Risk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particularly because of our cash equivalents and debt security investments. Our investments are made through our commercial and investment banks and, by policy, we limit the amount of risk by investing primarily in money market funds, United States Treasury obligations, and high quality corporate bonds. Additionally, we primarily invest in short-term securities. Because of the short-term nature of the majority of our financial instruments in our investment portfolio, an immediate change in market interest rates of 100 basis points would not have a material impact on the fair market value of our cash and cash equivalents or on our financial position or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Fluctuation Risk</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subject to foreign currency exchange risk from the translation of the financial statements of our foreign subsidiaries, whose financial condition and results of operations are reported in their local currencies and then translated into U.S. dollars at the applicable currency exchange rate for inclusion in our consolidated financial statements. Foreign currency translation adjustments were $0.2 million and $1.0 million for the nine months ended September 30, 2024 and 2023, respectively. Additionally, we have contracted with and may continue to contract with foreign vendors.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Pricing Risk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CarbonSmart products differ from other bio-ethanol products (and related derivative products) because they are made from a unique feedstock (recycled carbon emissions) which differs from first-generation biofuels which are generally made from food sources. As a result, there is not an active trading market for our CarbonSmart fuels, and we are not directly impacted by changes in commodity prices. Additionally, we do not engage in hedging or other derivative transactions related to commodity prices.</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Demand for our CarbonSmart products is indirectly impacted by commodity prices for fossil fuel and first generation bio-fuel prices. As prices drop for fossil and first-generation bio fuels, demand for our more-expensive recycled CarbonSmart products may decrease. Demand for our CarbonSmart products is also generally increased by new or additional environmental regulations, and decreased by loosened or reduced regulation.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subject to credit risk due to concentration of our receivables with a limited number of significant customers. If a customer defaults or if any of our contracts are cancelled by the customer in accordance with their terms, and we are unable to renew or replace these contracts, our gross margin and cash flows may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in the past, and may in the future, seek additional funding by sale of common stock and other equity securities. The price of our common stock has been volatile in the past and may also be volatile in the future. As a result, there is a risk that we may not be able to sell our common stock or other equity securities at an acceptable price or at all, should the need for new equity funding arise.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Fluctuation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Inflation generally affects us and our customers by increasing the cost of labor, laboratory supplies, consumables and capital expenditure required to deploy our technology, which may have a material effect on our business.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Limitations on Effectiveness of Controls and Procedures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(as defined in Rules 13a-15(e) and 15d-15(e) under the Securities Exchange Act of 1934, as amended (the “Exchange Act”)), management recognizes that any controls and procedures, no matter how well designed and operated, can provide only reasonable assurance of achieving the desired control objectives.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 Our management, with the participation of our Chief Executive Officer and Chief Financial Officer, evaluated the effectiveness of our disclosure controls and procedures (as defined in Exchange Act Rule 13a–15(e) and 15d-15(e)).</w:t>
      </w:r>
    </w:p>
    <w:p>
      <w:pPr>
        <w:spacing w:after="0" w:line="1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As a result of this evaluation, our CEO and CFO concluded that the material weaknesses relating to: (i) the accounting for complex transactions and estimates requiring significant judgment and (ii) revenue recognition, which were previously identified in Item 9A. “Controls and Procedures” of our Annual Report on Form 10-K for the year ended December 31, 2023, were still present as of September 30, 2024 (the “Evaluation Date”). Based on the material weaknesses, and the evaluation of our disclosure controls and procedures, our CEO and CFO concluded that our disclosure controls and procedures were not effective as of the Evaluation Date.</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Notwithstanding the identified material weaknesses, management believes that the condensed consolidated financial statements included in this Form 10-Q fairly present in all material respects our financial condition, results of operations, and cash flows as of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Remediation Efforts to Address Material Weaknesses</w:t>
      </w:r>
    </w:p>
    <w:p>
      <w:pPr>
        <w:spacing w:after="0" w:line="16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Management continues to take steps to improve our internal control processes and will continue to review, optimize, enhance and test our controls and procedures as our control environment matures over time. These measures include enhancing the design and implementation of our internal controls over financial reporting to comply with the COSO 2013 Internal Control-Integrated Framework, with particular focus on our material weaknesses. We have enhanced the design of our controls in the accounting for complex transactions and estimates requiring significant judgment and revenue recognition. The material weaknesses will not be considered remediated until the applicable controls operate for a sufficient period of time and management has concluded, through testing, that these controls are operating effectively.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September 30, 2024, that have materially affected, or are reasonably likely to materially affect, our internal control over financial reporting. We note that our CEO and CFO concluded that the material weaknesses previously identified in Item 9A. “Controls and Procedures” of our Annual Report on Form 10-K for the year ended December 31, 2023 were still present as of the Evaluation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6" w:name="page57"/>
    <w:bookmarkEnd w:id="5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The Company may be involved in legal proceedings and exposed to potential claims in the normal course of business, including as described below.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20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relation to the FPA, the Company’s volume-weighted average share price was below $3.00 per share for 50 trading days during the 60 day consecutive trading period ended on July 1, 2024 (satisfying the VWAP Condition). On July 22, 2024, Vellar (one of the Purchasers) notified the Company of satisfaction of the VAP Condition, purporting to accelerate the Maturity Date of its portion of the Recycled Shares (i.e., 2,990,000 common shares) to July 22, 2024. Vellar asserts that it is entitled to: (i) Maturity Consideration of $7,500,000 (payable at the Company’s option in cash or shares of common stock valued at the average daily VWAP Price (as defined in the FPA) over 30 scheduled trading days ending on the accelerated FPA Maturity Date of July 22, 2024 of $1.91 per share) and (ii) Share Consideration of $2,539,350, payable in cash, each due and payable on July 24, 2024. On July 25, 2024, the Company received a notice from Vellar pursuant to the FPA, stating that the Company is in default of its payment obligations. On July 30, 2024, the Company received a notice of an event of default under the FPA from Vellar that (i) designated such date as the early termination date of the FPA and (ii) purports to result in an early termination cash payment of $4,163,701 becoming due to Vellar (equating to the sum of the Maturity Consideration and the Share Consideration minus the VWAP Price (as defined in the FPA) (as of July 29, 2024) of Vellar’s portion of the Recycled Shares).</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July 24, 2024, LanzaTech filed suit against Vellar in the Supreme Court of the State of New York, Commercial Division, alleging breach of the FPA, breach of the implied covenant of good faith and fair dealing, and unjust enrichment. The claims are primarily in connection with Vellar’s sale of Recycled Shares, which LanzaTech alleges are in breach of the FPA's requirement that Recycled Shares be held in a bankruptcy remote special purpose vehicle for the benefit of the Company unless the sale is noticed to the Company as part of an optional early termination, which Vellar has not done. In the event of a sale of Recycled Shares subject to an optional early termination, the Company is entitled to receive $10.1574 for each share sold. LanzaTech believes that Vellar’s notice regarding the VWAP Condition and consequently, its notice of an event of default, is not valid and, accordingly, that no payments are owed to Vellar in connection with the purported acceleration of the FPA Maturity Date or early termination of the FPA. The Company intends to vigorously pursue its claims against Vellar.</w:t>
      </w:r>
    </w:p>
    <w:p>
      <w:pPr>
        <w:spacing w:after="0" w:line="12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October 23, 2024, Vellar filed suit against the Company, alleging breach of the FPA, and seeking $4,163,701 plus interest. The Company intends to vigorously defend itself against the claim. On October 24, 2024, Vellar sought advancement of certain expenses from the Company in connection with this litigation. The Company denied the request on October 28, 2024.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risk factors are disclosed in Part I, Item 1A of our Annual Report on Form 10-K. There have been no material changes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from or updates to the risk factors discussed in Part I, Item 1A. Risk Factors, of our Annual Report on Form 10-K, except as follows: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engaged in litigation related to the FPA.</w:t>
      </w:r>
    </w:p>
    <w:p>
      <w:pPr>
        <w:spacing w:after="0" w:line="17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On July 24, 2024, LanzaTech filed suit against Vellar in the Supreme Court of the State of New York, Commercial Division, alleging breach of the FPA, breach of the implied covenant of good faith and fair dealing, and unjust enrichment. Such litigation may be costly, distracting to management and could harm our reputation and the value of our Company. We cannot guarantee that we will be able to resolve the litigation on terms favorable to us, and such litigation, whether successful or not,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Except as previously reported by the Company on its Current Reports on Form 8-K, we did not sell any securities during the period covered by this Form 10-Q that were not registered under the Securities Act.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Securities Trading Plans of Directors and Executive Officers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8" w:name="page59"/>
    <w:bookmarkEnd w:id="5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340" w:type="dxa"/>
            <w:vAlign w:val="bottom"/>
            <w:gridSpan w:val="12"/>
          </w:tcPr>
          <w:p>
            <w:pPr>
              <w:ind w:left="10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3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15"/>
          </w:tcPr>
          <w:p>
            <w:pPr>
              <w:spacing w:after="0" w:line="18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Second Amended and Restated Certificate of Incorporation of LanzaTech Global, Inc.,</w:t>
              </w:r>
            </w:hyperlink>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15"/>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Amended and Restated Bylaws of LanzaTech Global, Inc. (incorporated by reference to Exhibit 3.2 of LanzaTech Global Inc.’s Current</w:t>
              </w:r>
            </w:hyperlink>
          </w:p>
        </w:tc>
      </w:t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Report on Form 8-K, filed with the SEC on February 13,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15"/>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Form of Convertible Promissory Note (incorporated by reference to Exhibit 4.1 of LanzaTech Global Inc.’s Current Report on Form 8-</w:t>
              </w:r>
            </w:hyperlink>
          </w:p>
        </w:tc>
      </w:tr>
      <w:tr>
        <w:trPr>
          <w:trHeight w:val="155"/>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K, filed with the SEC on August 8, 2024).</w:t>
              </w:r>
            </w:hyperlink>
          </w:p>
        </w:tc>
        <w:tc>
          <w:tcPr>
            <w:tcW w:w="66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15"/>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Form of Convertible Note Purchase Agreement, dated August 5, 2024 (incorporated by reference to Exhibit 10.1 of LanzaTech Global</w:t>
              </w:r>
            </w:hyperlink>
          </w:p>
        </w:tc>
      </w:t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Inc.’s Current Report on Form 8-K, filed with the SEC on August 8, 2024).</w:t>
              </w:r>
            </w:hyperlink>
          </w:p>
        </w:tc>
        <w:tc>
          <w:tcPr>
            <w:tcW w:w="428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15"/>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Form of Registration Rights Agreement, dated August 5, 2024 (incorporated by reference to Exhibit 10.2 of LanzaTech Global Inc.’s</w:t>
              </w:r>
            </w:hyperlink>
          </w:p>
        </w:tc>
      </w:t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Current Report on Form 8-K, filed with the SEC on August 8, 2024).</w:t>
              </w:r>
            </w:hyperlink>
          </w:p>
        </w:tc>
        <w:tc>
          <w:tcPr>
            <w:tcW w:w="4600" w:type="dxa"/>
            <w:vAlign w:val="bottom"/>
            <w:tcBorders>
              <w:top w:val="single" w:sz="8" w:color="0000FF"/>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promulgated under the Securities Exchange Act</w:t>
            </w:r>
          </w:p>
        </w:tc>
      </w:t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1934, as amended.</w:t>
            </w:r>
          </w:p>
        </w:tc>
        <w:tc>
          <w:tcPr>
            <w:tcW w:w="820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promulgated under the Securities Exchange Act</w:t>
            </w:r>
          </w:p>
        </w:tc>
      </w:t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1934, as amended.</w:t>
            </w:r>
          </w:p>
        </w:tc>
        <w:tc>
          <w:tcPr>
            <w:tcW w:w="8140" w:type="dxa"/>
            <w:vAlign w:val="bottom"/>
            <w:tcBorders>
              <w:top w:val="single" w:sz="8" w:color="0000FF"/>
            </w:tcBorders>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Officers and Principal Financial Officer pursuant to 18 U.S.C. Section 1350, as adopted pursuant to</w:t>
            </w:r>
          </w:p>
        </w:tc>
      </w:tr>
      <w:tr>
        <w:trPr>
          <w:trHeight w:val="155"/>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440" w:right="40" w:hanging="1414"/>
        <w:spacing w:after="0" w:line="220" w:lineRule="auto"/>
        <w:tabs>
          <w:tab w:leader="none" w:pos="1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LanzaTech Global Inc.'s Quarterly Report on Form 10-Q for the quarter ended September 30, 2024 formatted in Inline XBRL (Extensible Business Reporting Language) includes: (i) the Condensed Consolidated Balance Sheets, (ii) the Condensed Consolidated Statements of Operations and Comprehensive Loss, (iii) the Condensed Consolidated Statements of Changes in Redeemable Convertible Preferred Stock and Shareholders’ Equity, (iv) the Condensed Consolidated Statements of Cash Flows, and (v) Notes to the Condensed Consolidated Financial Statements.</w:t>
      </w:r>
    </w:p>
    <w:p>
      <w:pPr>
        <w:spacing w:after="0" w:line="10" w:lineRule="exact"/>
        <w:rPr>
          <w:sz w:val="20"/>
          <w:szCs w:val="20"/>
          <w:color w:val="auto"/>
        </w:rPr>
      </w:pPr>
    </w:p>
    <w:p>
      <w:pPr>
        <w:ind w:left="1440" w:hanging="1414"/>
        <w:spacing w:after="0"/>
        <w:tabs>
          <w:tab w:leader="none" w:pos="14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71" w:lineRule="exact"/>
        <w:rPr>
          <w:sz w:val="20"/>
          <w:szCs w:val="20"/>
          <w:color w:val="auto"/>
        </w:rPr>
      </w:pPr>
    </w:p>
    <w:p>
      <w:pPr>
        <w:ind w:right="100" w:firstLine="8"/>
        <w:spacing w:after="0" w:line="282" w:lineRule="auto"/>
        <w:tabs>
          <w:tab w:leader="none" w:pos="1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20" w:firstLine="360"/>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the registrant has duly caused this report to be signed on its behalf by the undersigned, thereunto duly authorized, in the City of Skokie, State of Illinois, on November 8,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19685</wp:posOffset>
            </wp:positionV>
            <wp:extent cx="58375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(Registrant)</w:t>
      </w:r>
    </w:p>
    <w:p>
      <w:pPr>
        <w:spacing w:after="0" w:line="232" w:lineRule="exact"/>
        <w:rPr>
          <w:sz w:val="20"/>
          <w:szCs w:val="20"/>
          <w:color w:val="auto"/>
        </w:rPr>
      </w:pPr>
    </w:p>
    <w:tbl>
      <w:tblPr>
        <w:tblLayout w:type="fixed"/>
        <w:tblInd w:w="2040" w:type="dxa"/>
        <w:tblCellMar>
          <w:top w:w="0" w:type="dxa"/>
          <w:left w:w="0" w:type="dxa"/>
          <w:bottom w:w="0" w:type="dxa"/>
          <w:right w:w="0" w:type="dxa"/>
        </w:tblCellMar>
      </w:tblPr>
      <w:tr>
        <w:trPr>
          <w:trHeight w:val="190"/>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3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Jennifer Holmgren, Ph.D.</w:t>
            </w:r>
          </w:p>
        </w:tc>
        <w:tc>
          <w:tcPr>
            <w:tcW w:w="100" w:type="dxa"/>
            <w:vAlign w:val="bottom"/>
          </w:tcPr>
          <w:p>
            <w:pPr>
              <w:spacing w:after="0"/>
              <w:rPr>
                <w:sz w:val="22"/>
                <w:szCs w:val="22"/>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November 8, 2024</w:t>
            </w:r>
          </w:p>
        </w:tc>
        <w:tc>
          <w:tcPr>
            <w:tcW w:w="0" w:type="dxa"/>
            <w:vAlign w:val="bottom"/>
          </w:tcPr>
          <w:p>
            <w:pPr>
              <w:spacing w:after="0"/>
              <w:rPr>
                <w:sz w:val="1"/>
                <w:szCs w:val="1"/>
                <w:color w:val="auto"/>
              </w:rPr>
            </w:pPr>
          </w:p>
        </w:tc>
      </w:tr>
      <w:tr>
        <w:trPr>
          <w:trHeight w:val="40"/>
        </w:trPr>
        <w:tc>
          <w:tcPr>
            <w:tcW w:w="3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Jennifer Holmgren, Ph.D.</w:t>
            </w:r>
          </w:p>
        </w:tc>
        <w:tc>
          <w:tcPr>
            <w:tcW w:w="100" w:type="dxa"/>
            <w:vAlign w:val="bottom"/>
          </w:tcPr>
          <w:p>
            <w:pPr>
              <w:spacing w:after="0"/>
              <w:rPr>
                <w:sz w:val="7"/>
                <w:szCs w:val="7"/>
                <w:color w:val="auto"/>
              </w:rPr>
            </w:pPr>
          </w:p>
        </w:tc>
        <w:tc>
          <w:tcPr>
            <w:tcW w:w="3880" w:type="dxa"/>
            <w:vAlign w:val="bottom"/>
            <w:gridSpan w:val="2"/>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Geoff Trukenbrod</w:t>
            </w:r>
          </w:p>
        </w:tc>
        <w:tc>
          <w:tcPr>
            <w:tcW w:w="10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November 8, 2024</w:t>
            </w:r>
          </w:p>
        </w:tc>
        <w:tc>
          <w:tcPr>
            <w:tcW w:w="0" w:type="dxa"/>
            <w:vAlign w:val="bottom"/>
          </w:tcPr>
          <w:p>
            <w:pPr>
              <w:spacing w:after="0"/>
              <w:rPr>
                <w:sz w:val="1"/>
                <w:szCs w:val="1"/>
                <w:color w:val="auto"/>
              </w:rPr>
            </w:pPr>
          </w:p>
        </w:tc>
      </w:tr>
      <w:tr>
        <w:trPr>
          <w:trHeight w:val="54"/>
        </w:trPr>
        <w:tc>
          <w:tcPr>
            <w:tcW w:w="3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Geoff Trukenbrod</w:t>
            </w:r>
          </w:p>
        </w:tc>
        <w:tc>
          <w:tcPr>
            <w:tcW w:w="1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Jennifer Holmgren, certify that:</w:t>
      </w:r>
    </w:p>
    <w:p>
      <w:pPr>
        <w:spacing w:after="0" w:line="221" w:lineRule="exact"/>
        <w:rPr>
          <w:sz w:val="20"/>
          <w:szCs w:val="20"/>
          <w:color w:val="auto"/>
        </w:rPr>
      </w:pPr>
    </w:p>
    <w:p>
      <w:pPr>
        <w:ind w:left="160" w:hanging="145"/>
        <w:spacing w:after="0"/>
        <w:tabs>
          <w:tab w:leader="none" w:pos="1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LanzaTech Global, Inc.;</w:t>
      </w:r>
    </w:p>
    <w:p>
      <w:pPr>
        <w:spacing w:after="0" w:line="261" w:lineRule="exact"/>
        <w:rPr>
          <w:rFonts w:ascii="Times New Roman" w:cs="Times New Roman" w:eastAsia="Times New Roman" w:hAnsi="Times New Roman"/>
          <w:sz w:val="16"/>
          <w:szCs w:val="16"/>
          <w:color w:val="auto"/>
        </w:rPr>
      </w:pPr>
    </w:p>
    <w:p>
      <w:pPr>
        <w:ind w:left="180" w:right="320" w:hanging="165"/>
        <w:spacing w:after="0" w:line="368" w:lineRule="auto"/>
        <w:tabs>
          <w:tab w:leader="none" w:pos="17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80" w:right="1020" w:hanging="165"/>
        <w:spacing w:after="0" w:line="316" w:lineRule="auto"/>
        <w:tabs>
          <w:tab w:leader="none" w:pos="17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160" w:hanging="145"/>
        <w:spacing w:after="0"/>
        <w:tabs>
          <w:tab w:leader="none" w:pos="1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32" w:lineRule="exact"/>
        <w:rPr>
          <w:rFonts w:ascii="Times New Roman" w:cs="Times New Roman" w:eastAsia="Times New Roman" w:hAnsi="Times New Roman"/>
          <w:sz w:val="16"/>
          <w:szCs w:val="16"/>
          <w:color w:val="auto"/>
        </w:rPr>
      </w:pPr>
    </w:p>
    <w:p>
      <w:pPr>
        <w:ind w:left="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61" w:lineRule="exact"/>
        <w:rPr>
          <w:rFonts w:ascii="Times New Roman" w:cs="Times New Roman" w:eastAsia="Times New Roman" w:hAnsi="Times New Roman"/>
          <w:sz w:val="16"/>
          <w:szCs w:val="16"/>
          <w:color w:val="auto"/>
        </w:rPr>
      </w:pPr>
    </w:p>
    <w:p>
      <w:pPr>
        <w:ind w:left="900" w:right="180" w:hanging="447"/>
        <w:spacing w:after="0" w:line="290" w:lineRule="auto"/>
        <w:tabs>
          <w:tab w:leader="none" w:pos="899"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Times New Roman" w:cs="Times New Roman" w:eastAsia="Times New Roman" w:hAnsi="Times New Roman"/>
          <w:sz w:val="16"/>
          <w:szCs w:val="16"/>
          <w:color w:val="auto"/>
        </w:rPr>
      </w:pPr>
    </w:p>
    <w:p>
      <w:pPr>
        <w:ind w:left="900" w:right="320" w:hanging="447"/>
        <w:spacing w:after="0" w:line="290" w:lineRule="auto"/>
        <w:tabs>
          <w:tab w:leader="none" w:pos="894"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4" w:lineRule="exact"/>
        <w:rPr>
          <w:rFonts w:ascii="Times New Roman" w:cs="Times New Roman" w:eastAsia="Times New Roman" w:hAnsi="Times New Roman"/>
          <w:sz w:val="16"/>
          <w:szCs w:val="16"/>
          <w:color w:val="auto"/>
        </w:rPr>
      </w:pPr>
    </w:p>
    <w:p>
      <w:pPr>
        <w:ind w:left="900" w:right="500" w:hanging="447"/>
        <w:spacing w:after="0" w:line="351" w:lineRule="auto"/>
        <w:tabs>
          <w:tab w:leader="none" w:pos="899"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6"/>
          <w:szCs w:val="16"/>
          <w:color w:val="auto"/>
        </w:rPr>
      </w:pPr>
    </w:p>
    <w:p>
      <w:pPr>
        <w:ind w:left="900" w:right="260" w:hanging="447"/>
        <w:spacing w:after="0" w:line="290" w:lineRule="auto"/>
        <w:tabs>
          <w:tab w:leader="none" w:pos="894"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Times New Roman" w:cs="Times New Roman" w:eastAsia="Times New Roman" w:hAnsi="Times New Roman"/>
          <w:sz w:val="16"/>
          <w:szCs w:val="16"/>
          <w:color w:val="auto"/>
        </w:rPr>
      </w:pPr>
    </w:p>
    <w:p>
      <w:pPr>
        <w:ind w:left="180" w:right="620" w:hanging="165"/>
        <w:spacing w:after="0" w:line="316" w:lineRule="auto"/>
        <w:tabs>
          <w:tab w:leader="none" w:pos="17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6"/>
          <w:szCs w:val="16"/>
          <w:color w:val="auto"/>
        </w:rPr>
      </w:pPr>
    </w:p>
    <w:p>
      <w:pPr>
        <w:ind w:left="900" w:right="1060" w:hanging="447"/>
        <w:spacing w:after="0" w:line="333" w:lineRule="auto"/>
        <w:tabs>
          <w:tab w:leader="none" w:pos="899"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900" w:right="720" w:hanging="447"/>
        <w:spacing w:after="0" w:line="316" w:lineRule="auto"/>
        <w:tabs>
          <w:tab w:leader="none" w:pos="894"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8, 2024</w:t>
            </w:r>
          </w:p>
        </w:tc>
        <w:tc>
          <w:tcPr>
            <w:tcW w:w="7680" w:type="dxa"/>
            <w:vAlign w:val="bottom"/>
            <w:gridSpan w:val="2"/>
          </w:tcPr>
          <w:p>
            <w:pPr>
              <w:ind w:left="1900"/>
              <w:spacing w:after="0"/>
              <w:rPr>
                <w:sz w:val="20"/>
                <w:szCs w:val="20"/>
                <w:color w:val="auto"/>
              </w:rPr>
            </w:pPr>
            <w:r>
              <w:rPr>
                <w:rFonts w:ascii="Times New Roman" w:cs="Times New Roman" w:eastAsia="Times New Roman" w:hAnsi="Times New Roman"/>
                <w:sz w:val="16"/>
                <w:szCs w:val="16"/>
                <w:color w:val="auto"/>
              </w:rPr>
              <w:t>By: /s/ Jennifer Holmgren</w:t>
            </w:r>
          </w:p>
        </w:tc>
      </w:tr>
      <w:tr>
        <w:trPr>
          <w:trHeight w:val="33"/>
        </w:trPr>
        <w:tc>
          <w:tcPr>
            <w:tcW w:w="3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17"/>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Jennifer Holmgren</w:t>
            </w:r>
          </w:p>
        </w:tc>
      </w:tr>
      <w:tr>
        <w:trPr>
          <w:trHeight w:val="256"/>
        </w:trPr>
        <w:tc>
          <w:tcPr>
            <w:tcW w:w="35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56"/>
        </w:trPr>
        <w:tc>
          <w:tcPr>
            <w:tcW w:w="35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ectPr>
          <w:pgSz w:w="11900" w:h="16838" w:orient="portrait"/>
          <w:cols w:equalWidth="0" w:num="1">
            <w:col w:w="11240"/>
          </w:cols>
          <w:pgMar w:left="320" w:top="93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Geoff Trukenbrod, certify that:</w:t>
      </w:r>
    </w:p>
    <w:p>
      <w:pPr>
        <w:spacing w:after="0" w:line="221" w:lineRule="exact"/>
        <w:rPr>
          <w:sz w:val="20"/>
          <w:szCs w:val="20"/>
          <w:color w:val="auto"/>
        </w:rPr>
      </w:pPr>
    </w:p>
    <w:p>
      <w:pPr>
        <w:ind w:left="160" w:hanging="145"/>
        <w:spacing w:after="0"/>
        <w:tabs>
          <w:tab w:leader="none" w:pos="1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LanzaTech Global, Inc.;</w:t>
      </w:r>
    </w:p>
    <w:p>
      <w:pPr>
        <w:spacing w:after="0" w:line="261" w:lineRule="exact"/>
        <w:rPr>
          <w:rFonts w:ascii="Times New Roman" w:cs="Times New Roman" w:eastAsia="Times New Roman" w:hAnsi="Times New Roman"/>
          <w:sz w:val="16"/>
          <w:szCs w:val="16"/>
          <w:color w:val="auto"/>
        </w:rPr>
      </w:pPr>
    </w:p>
    <w:p>
      <w:pPr>
        <w:ind w:left="180" w:right="320" w:hanging="165"/>
        <w:spacing w:after="0" w:line="368" w:lineRule="auto"/>
        <w:tabs>
          <w:tab w:leader="none" w:pos="17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80" w:right="1020" w:hanging="165"/>
        <w:spacing w:after="0" w:line="316" w:lineRule="auto"/>
        <w:tabs>
          <w:tab w:leader="none" w:pos="17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160" w:hanging="145"/>
        <w:spacing w:after="0"/>
        <w:tabs>
          <w:tab w:leader="none" w:pos="1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32" w:lineRule="exact"/>
        <w:rPr>
          <w:rFonts w:ascii="Times New Roman" w:cs="Times New Roman" w:eastAsia="Times New Roman" w:hAnsi="Times New Roman"/>
          <w:sz w:val="16"/>
          <w:szCs w:val="16"/>
          <w:color w:val="auto"/>
        </w:rPr>
      </w:pPr>
    </w:p>
    <w:p>
      <w:pPr>
        <w:ind w:left="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61" w:lineRule="exact"/>
        <w:rPr>
          <w:rFonts w:ascii="Times New Roman" w:cs="Times New Roman" w:eastAsia="Times New Roman" w:hAnsi="Times New Roman"/>
          <w:sz w:val="16"/>
          <w:szCs w:val="16"/>
          <w:color w:val="auto"/>
        </w:rPr>
      </w:pPr>
    </w:p>
    <w:p>
      <w:pPr>
        <w:ind w:left="900" w:right="180" w:hanging="447"/>
        <w:spacing w:after="0" w:line="290" w:lineRule="auto"/>
        <w:tabs>
          <w:tab w:leader="none" w:pos="899"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Times New Roman" w:cs="Times New Roman" w:eastAsia="Times New Roman" w:hAnsi="Times New Roman"/>
          <w:sz w:val="16"/>
          <w:szCs w:val="16"/>
          <w:color w:val="auto"/>
        </w:rPr>
      </w:pPr>
    </w:p>
    <w:p>
      <w:pPr>
        <w:ind w:left="900" w:right="320" w:hanging="447"/>
        <w:spacing w:after="0" w:line="290" w:lineRule="auto"/>
        <w:tabs>
          <w:tab w:leader="none" w:pos="894"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4" w:lineRule="exact"/>
        <w:rPr>
          <w:rFonts w:ascii="Times New Roman" w:cs="Times New Roman" w:eastAsia="Times New Roman" w:hAnsi="Times New Roman"/>
          <w:sz w:val="16"/>
          <w:szCs w:val="16"/>
          <w:color w:val="auto"/>
        </w:rPr>
      </w:pPr>
    </w:p>
    <w:p>
      <w:pPr>
        <w:ind w:left="900" w:right="500" w:hanging="447"/>
        <w:spacing w:after="0" w:line="351" w:lineRule="auto"/>
        <w:tabs>
          <w:tab w:leader="none" w:pos="899"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6"/>
          <w:szCs w:val="16"/>
          <w:color w:val="auto"/>
        </w:rPr>
      </w:pPr>
    </w:p>
    <w:p>
      <w:pPr>
        <w:ind w:left="900" w:right="260" w:hanging="447"/>
        <w:spacing w:after="0" w:line="290" w:lineRule="auto"/>
        <w:tabs>
          <w:tab w:leader="none" w:pos="894"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Times New Roman" w:cs="Times New Roman" w:eastAsia="Times New Roman" w:hAnsi="Times New Roman"/>
          <w:sz w:val="16"/>
          <w:szCs w:val="16"/>
          <w:color w:val="auto"/>
        </w:rPr>
      </w:pPr>
    </w:p>
    <w:p>
      <w:pPr>
        <w:ind w:left="180" w:right="620" w:hanging="165"/>
        <w:spacing w:after="0" w:line="316" w:lineRule="auto"/>
        <w:tabs>
          <w:tab w:leader="none" w:pos="17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6"/>
          <w:szCs w:val="16"/>
          <w:color w:val="auto"/>
        </w:rPr>
      </w:pPr>
    </w:p>
    <w:p>
      <w:pPr>
        <w:ind w:left="900" w:right="1060" w:hanging="447"/>
        <w:spacing w:after="0" w:line="333" w:lineRule="auto"/>
        <w:tabs>
          <w:tab w:leader="none" w:pos="899"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900" w:right="720" w:hanging="447"/>
        <w:spacing w:after="0" w:line="316" w:lineRule="auto"/>
        <w:tabs>
          <w:tab w:leader="none" w:pos="894"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8, 2024</w:t>
            </w:r>
          </w:p>
        </w:tc>
        <w:tc>
          <w:tcPr>
            <w:tcW w:w="7680" w:type="dxa"/>
            <w:vAlign w:val="bottom"/>
            <w:gridSpan w:val="2"/>
          </w:tcPr>
          <w:p>
            <w:pPr>
              <w:ind w:left="1900"/>
              <w:spacing w:after="0"/>
              <w:rPr>
                <w:sz w:val="20"/>
                <w:szCs w:val="20"/>
                <w:color w:val="auto"/>
              </w:rPr>
            </w:pPr>
            <w:r>
              <w:rPr>
                <w:rFonts w:ascii="Times New Roman" w:cs="Times New Roman" w:eastAsia="Times New Roman" w:hAnsi="Times New Roman"/>
                <w:sz w:val="16"/>
                <w:szCs w:val="16"/>
                <w:color w:val="auto"/>
              </w:rPr>
              <w:t>By: /s/ Geoff Trukenbrod</w:t>
            </w:r>
          </w:p>
        </w:tc>
      </w:tr>
      <w:tr>
        <w:trPr>
          <w:trHeight w:val="33"/>
        </w:trPr>
        <w:tc>
          <w:tcPr>
            <w:tcW w:w="3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17"/>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Geoff Trukenbrod</w:t>
            </w:r>
          </w:p>
        </w:tc>
      </w:tr>
      <w:tr>
        <w:trPr>
          <w:trHeight w:val="256"/>
        </w:trPr>
        <w:tc>
          <w:tcPr>
            <w:tcW w:w="35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57"/>
        </w:trPr>
        <w:tc>
          <w:tcPr>
            <w:tcW w:w="35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ectPr>
          <w:pgSz w:w="11900" w:h="16838" w:orient="portrait"/>
          <w:cols w:equalWidth="0" w:num="1">
            <w:col w:w="11240"/>
          </w:cols>
          <w:pgMar w:left="320" w:top="93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37"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 1350), Jennifer Holmgren, Chief Executive Officer of LanzaTech Global, Inc. (the “Company”), and Geoff Trukenbrod, Chief Financial Officer of the Company, each hereby certifies that, to the best of their knowledge:</w:t>
      </w:r>
    </w:p>
    <w:p>
      <w:pPr>
        <w:spacing w:after="0" w:line="211" w:lineRule="exact"/>
        <w:rPr>
          <w:sz w:val="20"/>
          <w:szCs w:val="20"/>
          <w:color w:val="auto"/>
        </w:rPr>
      </w:pPr>
    </w:p>
    <w:p>
      <w:pPr>
        <w:ind w:left="900" w:right="380" w:hanging="447"/>
        <w:spacing w:after="0" w:line="316" w:lineRule="auto"/>
        <w:tabs>
          <w:tab w:leader="none" w:pos="89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quarterly period ended September 30, 2024, to which this Certification is attached as Exhibit 32.1 (the “Report”), fully complies with the requirements of Section 13(a) or Section 15(d) of the Exchange Act; and</w:t>
      </w:r>
    </w:p>
    <w:p>
      <w:pPr>
        <w:spacing w:after="0" w:line="190" w:lineRule="exact"/>
        <w:rPr>
          <w:rFonts w:ascii="Times New Roman" w:cs="Times New Roman" w:eastAsia="Times New Roman" w:hAnsi="Times New Roman"/>
          <w:sz w:val="16"/>
          <w:szCs w:val="16"/>
          <w:color w:val="auto"/>
        </w:rPr>
      </w:pPr>
    </w:p>
    <w:p>
      <w:pPr>
        <w:ind w:left="880" w:hanging="427"/>
        <w:spacing w:after="0"/>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tabs>
          <w:tab w:leader="none" w:pos="5420" w:val="left"/>
          <w:tab w:leader="none" w:pos="6080" w:val="left"/>
        </w:tabs>
        <w:rPr>
          <w:sz w:val="20"/>
          <w:szCs w:val="20"/>
          <w:color w:val="auto"/>
        </w:rPr>
      </w:pPr>
      <w:r>
        <w:rPr>
          <w:rFonts w:ascii="Times New Roman" w:cs="Times New Roman" w:eastAsia="Times New Roman" w:hAnsi="Times New Roman"/>
          <w:sz w:val="16"/>
          <w:szCs w:val="16"/>
          <w:color w:val="auto"/>
        </w:rPr>
        <w:t>Date: November 8,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Jennifer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37465</wp:posOffset>
            </wp:positionV>
            <wp:extent cx="32829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Jennifer Holmgren</w:t>
      </w:r>
    </w:p>
    <w:p>
      <w:pPr>
        <w:spacing w:after="0" w:line="7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73" w:lineRule="exact"/>
        <w:rPr>
          <w:sz w:val="20"/>
          <w:szCs w:val="20"/>
          <w:color w:val="auto"/>
        </w:rPr>
      </w:pPr>
    </w:p>
    <w:p>
      <w:pPr>
        <w:ind w:left="5440"/>
        <w:spacing w:after="0"/>
        <w:tabs>
          <w:tab w:leader="none" w:pos="60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Geoff Trukenbrod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37465</wp:posOffset>
            </wp:positionV>
            <wp:extent cx="32829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Geoff Trukenbrod</w:t>
      </w:r>
    </w:p>
    <w:p>
      <w:pPr>
        <w:spacing w:after="0" w:line="7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68"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i w:val="1"/>
          <w:iCs w:val="1"/>
          <w:color w:val="auto"/>
        </w:rPr>
        <w:t>This certification accompanies the Form 10-Q to which it relates, is not deemed filed with the Securities and Exchange Commission and is not to be incorporated by reference into any filing of LanzaTech Global,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934"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lowerRoman"/>
      <w:start w:val="3"/>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Roman"/>
      <w:start w:val="10"/>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01"/>
    </w:lvl>
  </w:abstractNum>
  <w:abstractNum w:abstractNumId="17">
    <w:nsid w:val="436C6125"/>
    <w:multiLevelType w:val="hybridMultilevel"/>
    <w:lvl w:ilvl="0">
      <w:lvlJc w:val="left"/>
      <w:lvlText w:val="*"/>
      <w:numFmt w:val="bullet"/>
      <w:start w:val="1"/>
    </w:lvl>
    <w:lvl w:ilvl="1">
      <w:lvlJc w:val="left"/>
      <w:lvlText w:val="%2"/>
      <w:numFmt w:val="decimal"/>
      <w:start w:val="104"/>
    </w:lvl>
  </w:abstractNum>
  <w:abstractNum w:abstractNumId="18">
    <w:nsid w:val="628C895D"/>
    <w:multiLevelType w:val="hybridMultilevel"/>
    <w:lvl w:ilvl="0">
      <w:lvlJc w:val="left"/>
      <w:lvlText w:val="**"/>
      <w:numFmt w:val="bullet"/>
      <w:start w:val="1"/>
    </w:lvl>
    <w:lvl w:ilvl="1">
      <w:lvlJc w:val="left"/>
      <w:lvlText w:val="%2"/>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76" Type="http://schemas.openxmlformats.org/officeDocument/2006/relationships/hyperlink" Target="https://www.sec.gov/Archives/edgar/data/1843724/000162828024042696/exhibit31-sx3a.htm" TargetMode="External"/><Relationship Id="rId77" Type="http://schemas.openxmlformats.org/officeDocument/2006/relationships/hyperlink" Target="https://www.sec.gov/Archives/edgar/data/1843724/000162828023003310/exhibit32-8xk.htm" TargetMode="External"/><Relationship Id="rId78" Type="http://schemas.openxmlformats.org/officeDocument/2006/relationships/hyperlink" Target="https://www.sec.gov/Archives/edgar/data/1843724/000162828024035829/exhibit41-formofconvertibl.htm" TargetMode="External"/><Relationship Id="rId79" Type="http://schemas.openxmlformats.org/officeDocument/2006/relationships/hyperlink" Target="https://www.sec.gov/Archives/edgar/data/1843724/000162828024035829/exhibit101-formofconvertib.htm" TargetMode="External"/><Relationship Id="rId80" Type="http://schemas.openxmlformats.org/officeDocument/2006/relationships/hyperlink" Target="https://www.sec.gov/Archives/edgar/data/1843724/000162828024035829/exhibit102-formofregistr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2024-11-08T07:43:20Z</dcterms:created>
  <dcterms:modified xsi:type="dcterms:W3CDTF">2024-11-08T07:43:20Z</dcterms:modified>
</cp:coreProperties>
</file>