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834390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17"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195"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71"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23, 2026</w:t>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LanzaTech Global,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88"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0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40" w:type="dxa"/>
            <w:vAlign w:val="bottom"/>
            <w:gridSpan w:val="3"/>
          </w:tcPr>
          <w:p>
            <w:pPr>
              <w:jc w:val="right"/>
              <w:ind w:right="1460"/>
              <w:spacing w:after="0"/>
              <w:rPr>
                <w:sz w:val="20"/>
                <w:szCs w:val="20"/>
                <w:color w:val="auto"/>
              </w:rPr>
            </w:pPr>
            <w:r>
              <w:rPr>
                <w:rFonts w:ascii="Times New Roman" w:cs="Times New Roman" w:eastAsia="Times New Roman" w:hAnsi="Times New Roman"/>
                <w:sz w:val="18"/>
                <w:szCs w:val="18"/>
                <w:b w:val="1"/>
                <w:bCs w:val="1"/>
                <w:color w:val="auto"/>
              </w:rPr>
              <w:t>001-40282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92-2018969</w:t>
            </w:r>
          </w:p>
        </w:tc>
        <w:tc>
          <w:tcPr>
            <w:tcW w:w="20" w:type="dxa"/>
            <w:vAlign w:val="bottom"/>
          </w:tcPr>
          <w:p>
            <w:pPr>
              <w:spacing w:after="0"/>
              <w:rPr>
                <w:sz w:val="21"/>
                <w:szCs w:val="21"/>
                <w:color w:val="auto"/>
              </w:rPr>
            </w:pPr>
          </w:p>
        </w:tc>
      </w:tr>
      <w:tr>
        <w:trPr>
          <w:trHeight w:val="176"/>
        </w:trPr>
        <w:tc>
          <w:tcPr>
            <w:tcW w:w="366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10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3040" w:type="dxa"/>
            <w:vAlign w:val="bottom"/>
            <w:tcBorders>
              <w:top w:val="single" w:sz="8" w:color="auto"/>
            </w:tcBorders>
            <w:gridSpan w:val="3"/>
          </w:tcPr>
          <w:p>
            <w:pPr>
              <w:jc w:val="center"/>
              <w:ind w:right="640"/>
              <w:spacing w:after="0" w:line="176" w:lineRule="exact"/>
              <w:rPr>
                <w:sz w:val="20"/>
                <w:szCs w:val="20"/>
                <w:color w:val="auto"/>
              </w:rPr>
            </w:pPr>
            <w:r>
              <w:rPr>
                <w:rFonts w:ascii="Times New Roman" w:cs="Times New Roman" w:eastAsia="Times New Roman" w:hAnsi="Times New Roman"/>
                <w:sz w:val="18"/>
                <w:szCs w:val="18"/>
                <w:color w:val="auto"/>
              </w:rPr>
              <w:t>(Commission File Number)</w:t>
            </w: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3420" w:type="dxa"/>
            <w:vAlign w:val="bottom"/>
            <w:tcBorders>
              <w:top w:val="single" w:sz="8" w:color="auto"/>
            </w:tcBorders>
          </w:tcPr>
          <w:p>
            <w:pPr>
              <w:jc w:val="center"/>
              <w:ind w:right="190"/>
              <w:spacing w:after="0" w:line="176" w:lineRule="exact"/>
              <w:rPr>
                <w:sz w:val="20"/>
                <w:szCs w:val="20"/>
                <w:color w:val="auto"/>
              </w:rPr>
            </w:pPr>
            <w:r>
              <w:rPr>
                <w:rFonts w:ascii="Times New Roman" w:cs="Times New Roman" w:eastAsia="Times New Roman" w:hAnsi="Times New Roman"/>
                <w:sz w:val="18"/>
                <w:szCs w:val="18"/>
                <w:color w:val="auto"/>
                <w:w w:val="99"/>
              </w:rPr>
              <w:t>(I.R.S. Employer</w:t>
            </w:r>
          </w:p>
        </w:tc>
        <w:tc>
          <w:tcPr>
            <w:tcW w:w="20" w:type="dxa"/>
            <w:vAlign w:val="bottom"/>
          </w:tcPr>
          <w:p>
            <w:pPr>
              <w:spacing w:after="0"/>
              <w:rPr>
                <w:sz w:val="15"/>
                <w:szCs w:val="15"/>
                <w:color w:val="auto"/>
              </w:rPr>
            </w:pPr>
          </w:p>
        </w:tc>
      </w:tr>
      <w:tr>
        <w:trPr>
          <w:trHeight w:val="234"/>
        </w:trPr>
        <w:tc>
          <w:tcPr>
            <w:tcW w:w="4400" w:type="dxa"/>
            <w:vAlign w:val="bottom"/>
            <w:gridSpan w:val="3"/>
          </w:tcPr>
          <w:p>
            <w:pPr>
              <w:jc w:val="center"/>
              <w:ind w:right="74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2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20" w:type="dxa"/>
            <w:vAlign w:val="bottom"/>
          </w:tcPr>
          <w:p>
            <w:pPr>
              <w:spacing w:after="0"/>
              <w:rPr>
                <w:sz w:val="20"/>
                <w:szCs w:val="20"/>
                <w:color w:val="auto"/>
              </w:rPr>
            </w:pPr>
          </w:p>
        </w:tc>
      </w:tr>
      <w:tr>
        <w:trPr>
          <w:trHeight w:val="301"/>
        </w:trPr>
        <w:tc>
          <w:tcPr>
            <w:tcW w:w="4400" w:type="dxa"/>
            <w:vAlign w:val="bottom"/>
            <w:gridSpan w:val="3"/>
          </w:tcPr>
          <w:p>
            <w:pPr>
              <w:jc w:val="center"/>
              <w:ind w:left="1070"/>
              <w:spacing w:after="0"/>
              <w:rPr>
                <w:sz w:val="20"/>
                <w:szCs w:val="20"/>
                <w:color w:val="auto"/>
              </w:rPr>
            </w:pPr>
            <w:r>
              <w:rPr>
                <w:rFonts w:ascii="Times New Roman" w:cs="Times New Roman" w:eastAsia="Times New Roman" w:hAnsi="Times New Roman"/>
                <w:sz w:val="18"/>
                <w:szCs w:val="18"/>
                <w:color w:val="auto"/>
                <w:w w:val="99"/>
              </w:rPr>
              <w:t>8045 Lamon Avenue, Suite 400</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1"/>
        </w:trPr>
        <w:tc>
          <w:tcPr>
            <w:tcW w:w="4400" w:type="dxa"/>
            <w:vAlign w:val="bottom"/>
            <w:tcBorders>
              <w:bottom w:val="single" w:sz="8" w:color="auto"/>
            </w:tcBorders>
            <w:gridSpan w:val="3"/>
          </w:tcPr>
          <w:p>
            <w:pPr>
              <w:jc w:val="center"/>
              <w:ind w:left="1090"/>
              <w:spacing w:after="0"/>
              <w:rPr>
                <w:sz w:val="20"/>
                <w:szCs w:val="20"/>
                <w:color w:val="auto"/>
              </w:rPr>
            </w:pPr>
            <w:r>
              <w:rPr>
                <w:rFonts w:ascii="Times New Roman" w:cs="Times New Roman" w:eastAsia="Times New Roman" w:hAnsi="Times New Roman"/>
                <w:sz w:val="18"/>
                <w:szCs w:val="18"/>
                <w:color w:val="auto"/>
                <w:w w:val="99"/>
              </w:rPr>
              <w:t>Skokie, Illinois</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tcPr>
          <w:p>
            <w:pPr>
              <w:jc w:val="right"/>
              <w:ind w:right="2450"/>
              <w:spacing w:after="0"/>
              <w:rPr>
                <w:sz w:val="20"/>
                <w:szCs w:val="20"/>
                <w:color w:val="auto"/>
              </w:rPr>
            </w:pPr>
            <w:r>
              <w:rPr>
                <w:rFonts w:ascii="Times New Roman" w:cs="Times New Roman" w:eastAsia="Times New Roman" w:hAnsi="Times New Roman"/>
                <w:sz w:val="18"/>
                <w:szCs w:val="18"/>
                <w:color w:val="auto"/>
              </w:rPr>
              <w:t>60077</w:t>
            </w:r>
          </w:p>
        </w:tc>
        <w:tc>
          <w:tcPr>
            <w:tcW w:w="20" w:type="dxa"/>
            <w:vAlign w:val="bottom"/>
            <w:tcBorders>
              <w:bottom w:val="single" w:sz="8" w:color="auto"/>
            </w:tcBorders>
          </w:tcPr>
          <w:p>
            <w:pPr>
              <w:spacing w:after="0"/>
              <w:rPr>
                <w:sz w:val="20"/>
                <w:szCs w:val="20"/>
                <w:color w:val="auto"/>
              </w:rPr>
            </w:pPr>
          </w:p>
        </w:tc>
      </w:tr>
      <w:tr>
        <w:trPr>
          <w:trHeight w:val="234"/>
        </w:trPr>
        <w:tc>
          <w:tcPr>
            <w:tcW w:w="4400" w:type="dxa"/>
            <w:vAlign w:val="bottom"/>
            <w:gridSpan w:val="3"/>
          </w:tcPr>
          <w:p>
            <w:pPr>
              <w:jc w:val="center"/>
              <w:ind w:left="10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20" w:type="dxa"/>
            <w:vAlign w:val="bottom"/>
          </w:tcPr>
          <w:p>
            <w:pPr>
              <w:jc w:val="center"/>
              <w:ind w:right="2030"/>
              <w:spacing w:after="0"/>
              <w:rPr>
                <w:sz w:val="20"/>
                <w:szCs w:val="20"/>
                <w:color w:val="auto"/>
              </w:rPr>
            </w:pPr>
            <w:r>
              <w:rPr>
                <w:rFonts w:ascii="Times New Roman" w:cs="Times New Roman" w:eastAsia="Times New Roman" w:hAnsi="Times New Roman"/>
                <w:sz w:val="18"/>
                <w:szCs w:val="18"/>
                <w:color w:val="auto"/>
                <w:w w:val="98"/>
              </w:rPr>
              <w:t>(Zip Code)</w:t>
            </w:r>
          </w:p>
        </w:tc>
        <w:tc>
          <w:tcPr>
            <w:tcW w:w="20" w:type="dxa"/>
            <w:vAlign w:val="bottom"/>
          </w:tcPr>
          <w:p>
            <w:pPr>
              <w:spacing w:after="0"/>
              <w:rPr>
                <w:sz w:val="20"/>
                <w:szCs w:val="20"/>
                <w:color w:val="auto"/>
              </w:rPr>
            </w:pPr>
          </w:p>
        </w:tc>
      </w:tr>
      <w:tr>
        <w:trPr>
          <w:trHeight w:val="287"/>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40" w:type="dxa"/>
            <w:vAlign w:val="bottom"/>
            <w:gridSpan w:val="3"/>
          </w:tcPr>
          <w:p>
            <w:pPr>
              <w:jc w:val="right"/>
              <w:ind w:right="1260"/>
              <w:spacing w:after="0"/>
              <w:rPr>
                <w:sz w:val="20"/>
                <w:szCs w:val="20"/>
                <w:color w:val="auto"/>
              </w:rPr>
            </w:pPr>
            <w:r>
              <w:rPr>
                <w:rFonts w:ascii="Times New Roman" w:cs="Times New Roman" w:eastAsia="Times New Roman" w:hAnsi="Times New Roman"/>
                <w:sz w:val="18"/>
                <w:szCs w:val="18"/>
                <w:color w:val="auto"/>
              </w:rPr>
              <w:t>(847) 324-2400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3660" w:type="dxa"/>
            <w:vAlign w:val="bottom"/>
          </w:tcPr>
          <w:p>
            <w:pPr>
              <w:spacing w:after="0"/>
              <w:rPr>
                <w:sz w:val="20"/>
                <w:szCs w:val="20"/>
                <w:color w:val="auto"/>
              </w:rPr>
            </w:pPr>
          </w:p>
        </w:tc>
        <w:tc>
          <w:tcPr>
            <w:tcW w:w="4140" w:type="dxa"/>
            <w:vAlign w:val="bottom"/>
            <w:gridSpan w:val="7"/>
          </w:tcPr>
          <w:p>
            <w:pPr>
              <w:jc w:val="center"/>
              <w:ind w:right="22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42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53" w:lineRule="exact"/>
        <w:rPr>
          <w:sz w:val="24"/>
          <w:szCs w:val="24"/>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36"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346"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33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46"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Pre-commencements communications pursuant to Rule 13e-4(c) under the Exchange Act (17 CFR 240.13e-4(c))</w:t>
      </w:r>
    </w:p>
    <w:p>
      <w:pPr>
        <w:spacing w:after="0" w:line="29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263"/>
        </w:trPr>
        <w:tc>
          <w:tcPr>
            <w:tcW w:w="454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98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75"/>
        </w:trPr>
        <w:tc>
          <w:tcPr>
            <w:tcW w:w="366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Common Stock, par value $0.0000001 per</w:t>
            </w:r>
          </w:p>
        </w:tc>
        <w:tc>
          <w:tcPr>
            <w:tcW w:w="10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900" w:type="dxa"/>
            <w:vAlign w:val="bottom"/>
            <w:tcBorders>
              <w:top w:val="single" w:sz="8" w:color="auto"/>
            </w:tcBorders>
          </w:tcPr>
          <w:p>
            <w:pPr>
              <w:jc w:val="center"/>
              <w:ind w:right="7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LNZA</w:t>
            </w:r>
          </w:p>
        </w:tc>
        <w:tc>
          <w:tcPr>
            <w:tcW w:w="80" w:type="dxa"/>
            <w:vAlign w:val="bottom"/>
          </w:tcPr>
          <w:p>
            <w:pPr>
              <w:spacing w:after="0"/>
              <w:rPr>
                <w:sz w:val="15"/>
                <w:szCs w:val="15"/>
                <w:color w:val="auto"/>
              </w:rPr>
            </w:pPr>
          </w:p>
        </w:tc>
        <w:tc>
          <w:tcPr>
            <w:tcW w:w="370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4"/>
        </w:trPr>
        <w:tc>
          <w:tcPr>
            <w:tcW w:w="454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2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238"/>
        </w:trPr>
        <w:tc>
          <w:tcPr>
            <w:tcW w:w="454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9"/>
              </w:rPr>
              <w:t>Warrants to purchase Common Stock</w:t>
            </w:r>
          </w:p>
        </w:tc>
        <w:tc>
          <w:tcPr>
            <w:tcW w:w="298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6"/>
              </w:rPr>
              <w:t>LNZAW</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17" w:lineRule="exact"/>
        <w:rPr>
          <w:sz w:val="24"/>
          <w:szCs w:val="24"/>
          <w:color w:val="auto"/>
        </w:rPr>
      </w:pPr>
    </w:p>
    <w:p>
      <w:pPr>
        <w:ind w:left="360" w:right="180" w:hanging="334"/>
        <w:spacing w:after="0" w:line="282" w:lineRule="auto"/>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83" w:lineRule="exact"/>
        <w:rPr>
          <w:rFonts w:ascii="MS PGothic" w:cs="MS PGothic" w:eastAsia="MS PGothic" w:hAnsi="MS PGothic"/>
          <w:sz w:val="18"/>
          <w:szCs w:val="18"/>
          <w:color w:val="auto"/>
        </w:rPr>
      </w:pPr>
    </w:p>
    <w:p>
      <w:pPr>
        <w:ind w:left="360" w:right="160" w:hanging="334"/>
        <w:spacing w:after="0" w:line="282" w:lineRule="auto"/>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1550035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285750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23, 2026, LanzaTech Global, Inc. (the “Company”) held its 2026 Annual Meeting of Stockholders (the “Annual Meeting”). A total of 7,865,074 shares of the Company’s common stock (“Common Stock”), representing approximately 77.96% of the shares entitled to vote at the Annual Meeting, were represented at the Annual Meeting in person, including by means of remote communication, or by proxy.</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in the Company’s definitive proxy statement for the Annual Meeting filed with the Securities and Exchange Commission (the “SEC”) on April 29, 2026 (the “Proxy Statement”), as of the close of business on April 28, 2026, the record date for the Annual Meeting, there were 10,089,163 shares of Common Stock issued and outstanding and entitled to vote at the Annual Meeting.</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Stockholders voted on the following three proposals at the Annual Meeting, all of which are described in the Proxy Statement, and cast their votes as described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 – Election of Class III Directors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Stockholders approved the election of each of the Company’s two Class III director nominees to hold office until the 2029 Annual Meeting of Stockholders of the Company and until his or her successor is elected or appointed (“Proposal 1”). The affirmative vote of a plurality of the votes cast by the holders of Common Stock present in person, including by means of remote communication, or represented by proxy and entitled to vote thereon was required to elect each of Ms. McWhorter and Mr. Messina. Broker non-votes had no effect on the outcome of Proposal 1. The voting results were as follows:</w:t>
      </w:r>
    </w:p>
    <w:p>
      <w:pPr>
        <w:spacing w:after="0" w:line="247" w:lineRule="exact"/>
        <w:rPr>
          <w:sz w:val="20"/>
          <w:szCs w:val="20"/>
          <w:color w:val="auto"/>
        </w:rPr>
      </w:pPr>
    </w:p>
    <w:tbl>
      <w:tblPr>
        <w:tblLayout w:type="fixed"/>
        <w:tblInd w:w="400" w:type="dxa"/>
        <w:tblCellMar>
          <w:top w:w="0" w:type="dxa"/>
          <w:left w:w="0" w:type="dxa"/>
          <w:bottom w:w="0" w:type="dxa"/>
          <w:right w:w="0" w:type="dxa"/>
        </w:tblCellMar>
      </w:tblPr>
      <w:tr>
        <w:trPr>
          <w:trHeight w:val="238"/>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19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9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Withheld</w:t>
            </w:r>
          </w:p>
        </w:tc>
        <w:tc>
          <w:tcPr>
            <w:tcW w:w="17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23"/>
        </w:trPr>
        <w:tc>
          <w:tcPr>
            <w:tcW w:w="3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Dorri McWhorter</w:t>
            </w:r>
          </w:p>
        </w:tc>
        <w:tc>
          <w:tcPr>
            <w:tcW w:w="14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7,356,272</w:t>
            </w:r>
          </w:p>
        </w:tc>
        <w:tc>
          <w:tcPr>
            <w:tcW w:w="14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227,528</w:t>
            </w:r>
          </w:p>
        </w:tc>
        <w:tc>
          <w:tcPr>
            <w:tcW w:w="16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281,274</w:t>
            </w:r>
          </w:p>
        </w:tc>
      </w:tr>
      <w:tr>
        <w:trPr>
          <w:trHeight w:val="234"/>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Jim Messina</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7,369,422</w:t>
            </w:r>
          </w:p>
        </w:tc>
        <w:tc>
          <w:tcPr>
            <w:tcW w:w="140" w:type="dxa"/>
            <w:vAlign w:val="bottom"/>
          </w:tcPr>
          <w:p>
            <w:pPr>
              <w:spacing w:after="0"/>
              <w:rPr>
                <w:sz w:val="20"/>
                <w:szCs w:val="20"/>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214,378</w:t>
            </w:r>
          </w:p>
        </w:tc>
        <w:tc>
          <w:tcPr>
            <w:tcW w:w="160" w:type="dxa"/>
            <w:vAlign w:val="bottom"/>
          </w:tcPr>
          <w:p>
            <w:pPr>
              <w:spacing w:after="0"/>
              <w:rPr>
                <w:sz w:val="20"/>
                <w:szCs w:val="20"/>
                <w:color w:val="auto"/>
              </w:rPr>
            </w:pPr>
          </w:p>
        </w:tc>
        <w:tc>
          <w:tcPr>
            <w:tcW w:w="17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281,274</w:t>
            </w: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 – Ratification of Appointment of Independent Registered Public Accounting Firm</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Stockholders approved the ratification of BDO USA, P.C. as the Company’s independent registered public accounting firm for the Company’s fiscal year ending December 31, 2026 (“Proposal 2”). The affirmative vote of a majority of the votes cast by the holders of Common Stock present in person, including by means of remote communication, or represented by proxy and entitled to vote thereon was required to approve Proposal 2. Abstentions were not considered votes cast and had no effect on the outcome of Proposal 2. There were no broker non-votes for Proposal 2 as it was a routine matter. The results of the voting were as follows:</w:t>
      </w:r>
    </w:p>
    <w:p>
      <w:pPr>
        <w:spacing w:after="0" w:line="247" w:lineRule="exact"/>
        <w:rPr>
          <w:sz w:val="20"/>
          <w:szCs w:val="20"/>
          <w:color w:val="auto"/>
        </w:rPr>
      </w:pPr>
    </w:p>
    <w:tbl>
      <w:tblPr>
        <w:tblLayout w:type="fixed"/>
        <w:tblInd w:w="400" w:type="dxa"/>
        <w:tblCellMar>
          <w:top w:w="0" w:type="dxa"/>
          <w:left w:w="0" w:type="dxa"/>
          <w:bottom w:w="0" w:type="dxa"/>
          <w:right w:w="0" w:type="dxa"/>
        </w:tblCellMar>
      </w:tblPr>
      <w:tr>
        <w:trPr>
          <w:trHeight w:val="238"/>
        </w:trPr>
        <w:tc>
          <w:tcPr>
            <w:tcW w:w="2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3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3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1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23"/>
        </w:trPr>
        <w:tc>
          <w:tcPr>
            <w:tcW w:w="214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7,855,643</w:t>
            </w:r>
          </w:p>
        </w:tc>
        <w:tc>
          <w:tcPr>
            <w:tcW w:w="16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1,317</w:t>
            </w:r>
          </w:p>
        </w:tc>
        <w:tc>
          <w:tcPr>
            <w:tcW w:w="16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8,114</w:t>
            </w:r>
          </w:p>
        </w:tc>
        <w:tc>
          <w:tcPr>
            <w:tcW w:w="16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0</w:t>
            </w: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3 – Advisory Vote to Approve the Compensation of the Company’s Named Executive Officers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Stockholders approved, on an advisory and non-binding basis, the compensation of the Company’s named executive officers as disclosed in the Proxy Statement (“Proposal 3”). The affirmative vote of a majority of the votes cast by the holders of Common Stock present in person, including by means of remote communication, or represented by proxy and entitled to vote thereon was required to approve Proposal 3. Abstentions and broker non-votes were not considered votes cast and had no effect on the outcome of Proposal 3. The results of the voting were as follows:</w:t>
      </w:r>
    </w:p>
    <w:p>
      <w:pPr>
        <w:spacing w:after="0" w:line="243" w:lineRule="exact"/>
        <w:rPr>
          <w:sz w:val="20"/>
          <w:szCs w:val="20"/>
          <w:color w:val="auto"/>
        </w:rPr>
      </w:pPr>
    </w:p>
    <w:tbl>
      <w:tblPr>
        <w:tblLayout w:type="fixed"/>
        <w:tblInd w:w="400" w:type="dxa"/>
        <w:tblCellMar>
          <w:top w:w="0" w:type="dxa"/>
          <w:left w:w="0" w:type="dxa"/>
          <w:bottom w:w="0" w:type="dxa"/>
          <w:right w:w="0" w:type="dxa"/>
        </w:tblCellMar>
      </w:tblPr>
      <w:tr>
        <w:trPr>
          <w:trHeight w:val="238"/>
        </w:trPr>
        <w:tc>
          <w:tcPr>
            <w:tcW w:w="2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320" w:type="dxa"/>
            <w:vAlign w:val="bottom"/>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3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1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23"/>
        </w:trPr>
        <w:tc>
          <w:tcPr>
            <w:tcW w:w="214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7,337,387</w:t>
            </w:r>
          </w:p>
        </w:tc>
        <w:tc>
          <w:tcPr>
            <w:tcW w:w="16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242,955</w:t>
            </w:r>
          </w:p>
        </w:tc>
        <w:tc>
          <w:tcPr>
            <w:tcW w:w="16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3,458</w:t>
            </w:r>
          </w:p>
        </w:tc>
        <w:tc>
          <w:tcPr>
            <w:tcW w:w="16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281,274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55880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580" w:top="1089" w:right="5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color w:val="auto"/>
        </w:rPr>
        <w:t>Exhibit</w:t>
      </w:r>
    </w:p>
    <w:p>
      <w:pPr>
        <w:spacing w:after="0" w:line="25" w:lineRule="exact"/>
        <w:rPr>
          <w:sz w:val="20"/>
          <w:szCs w:val="20"/>
          <w:color w:val="auto"/>
        </w:rPr>
      </w:pPr>
    </w:p>
    <w:p>
      <w:pPr>
        <w:ind w:left="100"/>
        <w:spacing w:after="0"/>
        <w:tabs>
          <w:tab w:leader="none" w:pos="940" w:val="left"/>
        </w:tabs>
        <w:rPr>
          <w:sz w:val="20"/>
          <w:szCs w:val="20"/>
          <w:color w:val="auto"/>
        </w:rPr>
      </w:pPr>
      <w:r>
        <w:rPr>
          <w:rFonts w:ascii="Times New Roman" w:cs="Times New Roman" w:eastAsia="Times New Roman" w:hAnsi="Times New Roman"/>
          <w:sz w:val="16"/>
          <w:szCs w:val="16"/>
          <w:b w:val="1"/>
          <w:bCs w:val="1"/>
          <w:color w:val="auto"/>
        </w:rPr>
        <w:t>Number</w:t>
      </w:r>
      <w:r>
        <w:rPr>
          <w:sz w:val="20"/>
          <w:szCs w:val="20"/>
          <w:color w:val="auto"/>
        </w:rPr>
        <w:tab/>
      </w:r>
      <w:r>
        <w:rPr>
          <w:rFonts w:ascii="Times New Roman" w:cs="Times New Roman" w:eastAsia="Times New Roman" w:hAnsi="Times New Roman"/>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5100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00320" cy="8255"/>
                    </a:xfrm>
                    <a:prstGeom prst="rect">
                      <a:avLst/>
                    </a:prstGeom>
                    <a:noFill/>
                  </pic:spPr>
                </pic:pic>
              </a:graphicData>
            </a:graphic>
          </wp:anchor>
        </w:drawing>
      </w:r>
    </w:p>
    <w:p>
      <w:pPr>
        <w:spacing w:after="0" w:line="44" w:lineRule="exact"/>
        <w:rPr>
          <w:sz w:val="20"/>
          <w:szCs w:val="20"/>
          <w:color w:val="auto"/>
        </w:rPr>
      </w:pPr>
    </w:p>
    <w:p>
      <w:pPr>
        <w:ind w:left="220"/>
        <w:spacing w:after="0"/>
        <w:tabs>
          <w:tab w:leader="none" w:pos="940" w:val="left"/>
        </w:tabs>
        <w:rPr>
          <w:sz w:val="20"/>
          <w:szCs w:val="20"/>
          <w:color w:val="auto"/>
        </w:rPr>
      </w:pPr>
      <w:r>
        <w:rPr>
          <w:rFonts w:ascii="Times New Roman" w:cs="Times New Roman" w:eastAsia="Times New Roman" w:hAnsi="Times New Roman"/>
          <w:sz w:val="17"/>
          <w:szCs w:val="17"/>
          <w:color w:val="auto"/>
        </w:rPr>
        <w:t>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64770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79"/>
          </w:cols>
          <w:pgMar w:left="580" w:top="1089"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36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6480" w:type="dxa"/>
            <w:vAlign w:val="bottom"/>
            <w:gridSpan w:val="2"/>
          </w:tcPr>
          <w:p>
            <w:pPr>
              <w:ind w:left="2000"/>
              <w:spacing w:after="0"/>
              <w:rPr>
                <w:sz w:val="20"/>
                <w:szCs w:val="20"/>
                <w:color w:val="auto"/>
              </w:rPr>
            </w:pPr>
            <w:r>
              <w:rPr>
                <w:rFonts w:ascii="Times New Roman" w:cs="Times New Roman" w:eastAsia="Times New Roman" w:hAnsi="Times New Roman"/>
                <w:sz w:val="18"/>
                <w:szCs w:val="18"/>
                <w:b w:val="1"/>
                <w:bCs w:val="1"/>
                <w:color w:val="auto"/>
              </w:rPr>
              <w:t>LANZATECH GLOBAL, INC.</w:t>
            </w:r>
          </w:p>
        </w:tc>
      </w:tr>
      <w:tr>
        <w:trPr>
          <w:trHeight w:val="70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Dated: June 24, 2026</w:t>
            </w:r>
          </w:p>
        </w:tc>
        <w:tc>
          <w:tcPr>
            <w:tcW w:w="29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/s/ Maryann Maas</w:t>
            </w:r>
          </w:p>
        </w:tc>
      </w:tr>
      <w:tr>
        <w:trPr>
          <w:trHeight w:val="189"/>
        </w:trPr>
        <w:tc>
          <w:tcPr>
            <w:tcW w:w="35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3580" w:type="dxa"/>
            <w:vAlign w:val="bottom"/>
            <w:tcBorders>
              <w:bottom w:val="single" w:sz="8" w:color="auto"/>
            </w:tcBorders>
          </w:tcPr>
          <w:p>
            <w:pPr>
              <w:spacing w:after="0"/>
              <w:rPr>
                <w:sz w:val="16"/>
                <w:szCs w:val="16"/>
                <w:color w:val="auto"/>
              </w:rPr>
            </w:pPr>
          </w:p>
        </w:tc>
      </w:tr>
      <w:tr>
        <w:trPr>
          <w:trHeight w:val="237"/>
        </w:trPr>
        <w:tc>
          <w:tcPr>
            <w:tcW w:w="3540" w:type="dxa"/>
            <w:vAlign w:val="bottom"/>
          </w:tcPr>
          <w:p>
            <w:pPr>
              <w:spacing w:after="0"/>
              <w:rPr>
                <w:sz w:val="20"/>
                <w:szCs w:val="20"/>
                <w:color w:val="auto"/>
              </w:rPr>
            </w:pPr>
          </w:p>
        </w:tc>
        <w:tc>
          <w:tcPr>
            <w:tcW w:w="29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Name:</w:t>
            </w: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Maryann Maas</w:t>
            </w:r>
          </w:p>
        </w:tc>
      </w:tr>
      <w:tr>
        <w:trPr>
          <w:trHeight w:val="432"/>
        </w:trPr>
        <w:tc>
          <w:tcPr>
            <w:tcW w:w="3540" w:type="dxa"/>
            <w:vAlign w:val="bottom"/>
          </w:tcPr>
          <w:p>
            <w:pPr>
              <w:spacing w:after="0"/>
              <w:rPr>
                <w:sz w:val="24"/>
                <w:szCs w:val="24"/>
                <w:color w:val="auto"/>
              </w:rPr>
            </w:pPr>
          </w:p>
        </w:tc>
        <w:tc>
          <w:tcPr>
            <w:tcW w:w="290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Title:</w:t>
            </w: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Counsel-Corporate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sectPr>
      <w:pgSz w:w="11900" w:h="16838" w:orient="portrait"/>
      <w:cols w:equalWidth="0" w:num="1">
        <w:col w:w="10720"/>
      </w:cols>
      <w:pgMar w:left="580" w:top="1251"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2026-06-24T15:27:00Z</dcterms:created>
  <dcterms:modified xsi:type="dcterms:W3CDTF">2026-06-24T15:27:00Z</dcterms:modified>
</cp:coreProperties>
</file>