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LanzaTech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Guardians of New Zealand Superannuation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ZEALAND</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80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1,302,492.00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1,302,492.00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1,302,492.00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7"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of shares outstanding for purposes of the percentage calculation in Item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 assumes 10,089,163 outstanding common shares of beneficial interest as of April 28, 2026 as reported by the Issuer in its definitive proxy statement filed by the Issuer with the Securities and Exchange Commission on April 29,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67"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LanzaTech Global,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8045 LAMON AVENUE, SUITE 400, SKOKIE, IL 60077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Guardians of New Zealand Superannuation (the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60"/>
        <w:spacing w:after="0" w:line="309" w:lineRule="auto"/>
        <w:rPr>
          <w:sz w:val="20"/>
          <w:szCs w:val="20"/>
          <w:color w:val="auto"/>
        </w:rPr>
      </w:pPr>
      <w:r>
        <w:rPr>
          <w:rFonts w:ascii="Times New Roman" w:cs="Times New Roman" w:eastAsia="Times New Roman" w:hAnsi="Times New Roman"/>
          <w:sz w:val="22"/>
          <w:szCs w:val="22"/>
          <w:color w:val="auto"/>
        </w:rPr>
        <w:t>The registered address of the Reporting Person is: PO BOX 106 607 Auckland 1143 New Zealand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Zealand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50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60" w:space="300"/>
            <w:col w:w="10160"/>
          </w:cols>
          <w:pgMar w:left="320" w:top="111" w:right="4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Row 5 of cover page.</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cover page.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Guardians of New Zealand Superannuation</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Gold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Sarah Gold, Authorized Signatory</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160"/>
        <w:spacing w:after="0"/>
        <w:tabs>
          <w:tab w:leader="none" w:pos="42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05/11/2026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2026-05-11T15:56:46Z</dcterms:created>
  <dcterms:modified xsi:type="dcterms:W3CDTF">2026-05-11T15:56:46Z</dcterms:modified>
</cp:coreProperties>
</file>