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0000383.xml.htm"/>
      <w:bookmarkStart w:id="1" w:name="kswkform3_178000038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Maas Maryann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8045 LAMON AVE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SKOKIE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05/26/2026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LanzaTech Global, Inc.</w:t>
              </w:r>
            </w:hyperlink>
            <w:r>
              <w:rPr/>
              <w:t xml:space="preserve"> [ </w:t>
            </w:r>
            <w:r>
              <w:rPr>
                <w:rFonts w:ascii="Times;serif" w:hAnsi="Times;serif"/>
                <w:color w:val="0000FF"/>
                <w:sz w:val="24"/>
                <w:shd w:fill="FFFFFF" w:val="clear"/>
              </w:rPr>
              <w:t>LNZA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GC-Corp. Secretary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06/26/2030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12/24/2031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05/02/2033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terms of the Stock Option Agreement, the shares subject to the stock option will vest and become exercisable in approximately three equal annual installments with such first installment vesting on March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and represent a right to receive one share of common stock per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(RSU) represents a contingent right to receive one share of common stock of LanzaTech Global, Inc. (the "Company"). Subject to the terms of the RSU Agreement, the RSUs vest in approximately three equal annual installments, with such first installment having vested on March 6,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Maas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9040" TargetMode="External"/><Relationship Id="rId3" Type="http://schemas.openxmlformats.org/officeDocument/2006/relationships/hyperlink" Target="http://www.sec.gov/cgi-bin/browse-edgar?action=getcompany&amp;CIK=00018437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553</Words>
  <Characters>2975</Characters>
  <CharactersWithSpaces>3451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