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333-279239</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160020</wp:posOffset>
            </wp:positionV>
            <wp:extent cx="18173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737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are offering 2,000,000 shares of our common stock, par value $0.0000001 per share, directly to certain institutional investors pursuant to this prospectus supplement and the accompanying prospectus and a securities purchase agreement with such investors.</w:t>
      </w:r>
    </w:p>
    <w:p>
      <w:pPr>
        <w:spacing w:after="0" w:line="162" w:lineRule="exact"/>
        <w:rPr>
          <w:sz w:val="24"/>
          <w:szCs w:val="24"/>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“LNZA.” On May 14, 2026, the last reported sale price of our common stock was $17.15 per share.</w:t>
      </w:r>
    </w:p>
    <w:p>
      <w:pPr>
        <w:spacing w:after="0" w:line="162" w:lineRule="exact"/>
        <w:rPr>
          <w:sz w:val="24"/>
          <w:szCs w:val="24"/>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engaged D. Boral Capital LLC to act as our sole placement agent in connection with this offering. The placement agent is not purchasing the securities offered by us in this offering and is not required to arrange the purchase or sale of any specific number or dollar amount of securities, but will use its reasonable best efforts to arrange for the sale of the securities offered hereby. We have agreed to pay the placement agent fees set forth in the table below. See “Plan of Distribution”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both"/>
        <w:ind w:left="120" w:right="300"/>
        <w:spacing w:after="0" w:line="263"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See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S-4 of this prospectus supplement, as well as those risk factors described in the documents that are incorporated herein by reference, for a discussion of information that should be considered in connection with an investment in our securities.</w:t>
      </w:r>
    </w:p>
    <w:p>
      <w:pPr>
        <w:spacing w:after="0" w:line="160" w:lineRule="exact"/>
        <w:rPr>
          <w:sz w:val="24"/>
          <w:szCs w:val="24"/>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67"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of</w:t>
            </w:r>
          </w:p>
        </w:tc>
        <w:tc>
          <w:tcPr>
            <w:tcW w:w="100" w:type="dxa"/>
            <w:vAlign w:val="bottom"/>
          </w:tcPr>
          <w:p>
            <w:pPr>
              <w:spacing w:after="0"/>
              <w:rPr>
                <w:sz w:val="13"/>
                <w:szCs w:val="13"/>
                <w:color w:val="auto"/>
              </w:rPr>
            </w:pP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1,300,000.00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18,700,000.00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right="60" w:hanging="424"/>
        <w:spacing w:after="0" w:line="289" w:lineRule="auto"/>
        <w:tabs>
          <w:tab w:leader="none" w:pos="5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pay the placement agent a cash fee equal to 6.5% of the gross proceeds received by us from the sale of shares of common stock in this offering. In addition, we have agreed to reimburse certain expenses of the placement agent in connection with this offering. See “</w:t>
      </w:r>
      <w:r>
        <w:rPr>
          <w:rFonts w:ascii="Times New Roman" w:cs="Times New Roman" w:eastAsia="Times New Roman" w:hAnsi="Times New Roman"/>
          <w:sz w:val="17"/>
          <w:szCs w:val="17"/>
          <w:u w:val="single" w:color="auto"/>
          <w:color w:val="0000EE"/>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Distribution</w:t>
      </w:r>
      <w:r>
        <w:rPr>
          <w:rFonts w:ascii="Times New Roman" w:cs="Times New Roman" w:eastAsia="Times New Roman" w:hAnsi="Times New Roman"/>
          <w:sz w:val="17"/>
          <w:szCs w:val="17"/>
          <w:color w:val="000000"/>
        </w:rPr>
        <w:t>” beginning on page S-18 of this prospectus supplement for a description of the compensation to be received by the placement agent.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May 18, 2026.</w:t>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807085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172720</wp:posOffset>
            </wp:positionV>
            <wp:extent cx="1560195" cy="40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15, 2026.</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720" w:type="dxa"/>
            <w:vAlign w:val="bottom"/>
            <w:gridSpan w:val="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8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17"/>
                <w:szCs w:val="17"/>
                <w:color w:val="auto"/>
              </w:rPr>
            </w:pPr>
          </w:p>
        </w:tc>
        <w:tc>
          <w:tcPr>
            <w:tcW w:w="588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5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30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 TO NON-U.S. HOLDERS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77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4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712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244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45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38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8"/>
          </w:tcPr>
          <w:p>
            <w:pPr>
              <w:spacing w:after="0"/>
              <w:rPr>
                <w:sz w:val="17"/>
                <w:szCs w:val="17"/>
                <w:color w:val="auto"/>
              </w:rPr>
            </w:pPr>
          </w:p>
        </w:tc>
        <w:tc>
          <w:tcPr>
            <w:tcW w:w="53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880" w:type="dxa"/>
            <w:vAlign w:val="bottom"/>
            <w:gridSpan w:val="2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5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602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14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68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11"/>
          </w:tcPr>
          <w:p>
            <w:pPr>
              <w:spacing w:after="0"/>
              <w:rPr>
                <w:sz w:val="17"/>
                <w:szCs w:val="17"/>
                <w:color w:val="auto"/>
              </w:rPr>
            </w:pPr>
          </w:p>
        </w:tc>
        <w:tc>
          <w:tcPr>
            <w:tcW w:w="570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712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20" w:type="dxa"/>
            <w:vAlign w:val="bottom"/>
          </w:tcPr>
          <w:p>
            <w:pPr>
              <w:spacing w:after="0"/>
              <w:rPr>
                <w:sz w:val="17"/>
                <w:szCs w:val="17"/>
                <w:color w:val="auto"/>
              </w:rPr>
            </w:pP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or in any document incorporated by reference that was filed with the Securities and Exchange Commission (the “SEC”) before the date of this prospectus supplement, you should rely on the information set forth in this prospectus supplement. In general, when we refer to the prospectus, we are referring to both the prospectus supplement and the accompanying prospectus combined.</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in any free writing prospectus we may provide to you in connection with this offering. Neither we nor the placement agent have authorized any other person to provide you with any information that is different. If anyone provides you with different or inconsistent information, you should not rely on it. We are offering to sell, and seeking offers to buy, our securities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securities.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indicates, the terms “LanzaTech,” the “Company,” “we,” “our” and “us” or similar terms refer to LanzaTech Global, Inc. and its subsidiaries. When we refer to “you,” we mean the potential holders of our common stock.</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Certain information contained in this prospectus supplement and the accompanying prospectus relates to or is based on studies, publications, surveys and other data obtained from third-party sources and LanzaTech’s own internal estimates and research. While we believe these third-party sources to be reliable as of the date of this prospectus supplement, we have not independently verified the market and industry data contained in this prospectus supplement or the underlying assumptions relied on therein. Finally, while we believe our own internal research is reliable, such research has not been verified by any independent source.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“forward-looking statements” within the meaning of Section 27A of the Securities Act of 1933, as amended (the “Securities Act”), and Section 21E of the Securities Exchange Act of 1934, as amended (the “Exchange Act”), which are subject to the “safe harbor” created by those sections.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supplement, the accompanying prospectus and the documents incorporated by reference herein and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operations as a going concern;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investors and raise substantial additional financing to fund our operations and/or execute on our other strategic options;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interruptions in government contract awards, funding cycles or agency operations (including due to a government shutdown) that could postpone project milestones and defer related revenue recognition;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Stock Market LLC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and achieve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successfully maintain and manage relationships with industry partners;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governmental programs designed to incentivize the production and consumption of low-carbon fuels and carbon capture and utilization;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revenue from engineering services, sales of equipment packages and sales of CarbonSmart products and to improve our operating results;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in our internal control over financial reporting and to maintain effective internal controls.</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current expectations and projections about future events and are subject to a number of risks, uncertainties and assumptions, including those described in Part I, “Item 1A–Risk Factors” of our Annual Report on Form 10-K for the year ended December 31, 2025, in addition to those discussed elsewhere in this prospectus supplement. Moreover, we operate in a complex industry, and new risks emerge from time to time. It is not possible for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may not occur, and actual results could differ materially and adversely from those anticipated or implied in the forward-looking statements in this prospectus supplement, the accompanying prospectus and the documents incorporated by reference herein and therein.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supplement, the accompanying prospectus and the documents incorporated by reference herein and therein are made only as of the date of the applicable document.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LanzaTech does not undertake any obligation to update publicly any forward-looking statements for any reason after the date of this prospectus supplement to conform these statements to actual results or to changes in expectations, except as required by law.</w:t>
      </w:r>
    </w:p>
    <w:p>
      <w:pPr>
        <w:spacing w:after="0" w:line="187"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with the understanding that the actual future results, levels of activity, performance, events and circumstances of LanzaTech may be materially different from what is expected.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supplement or the accompanying prospectus. This summary is not complete and does not contain all of the information that you should consider in making your investment decision. Before investing in our securities, you should carefully read the entire prospectus supplement, the accompanying prospectus, and the documents incorporated by reference in this prospectus supplement and the accompanying prospectus, including “Risk Factors,” “Management’s Discussion and Analysis of Financial Condition and Results of Operations,” our financial statements and related notes in our filings with the SEC that are incorporated by reference in this prospectus supplement and the accompanying prospectus.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LanzaTech is headquartered in Skokie, Illinois, USA. The Company is a nature-based carbon refining company that transforms waste carbon into the chemical building blocks for consumer goods such as fuels, fabrics, and packaging that people use in their daily lives. The Company’s customers leverage its proven proprietary gas fermentation technology platform to convert certain feedstocks, including waste carbon gases, into fuels and chemicals such as ethanol. The Company performs related services such as feasibility studies, engineering services, and research and development in biotechnology for commercial and government entities. The Company also purchases chemicals produced at customer facilities employing the Company’s technology and sells them under the brand name CarbonSmart. The Company has also been developing the capabilities to produce single cell protein as a primary product from its gas fermentation platform.</w:t>
      </w:r>
    </w:p>
    <w:p>
      <w:pPr>
        <w:spacing w:after="0" w:line="18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technology was operated by licensees at four commercial-scale ethanol plants in China, one plant in Belgium and one in the commissioning phase in India, with others currently in development in various countries.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January 28, 2021, under the name AMCI Acquisition Corp. II (“AMCI”), in order to effectuate a merger, capital stock exchange, asset acquisition, stock purchase, reorganization or similar business combination with one or more businesses or entities. AMCI completed its initial public offering on August 6, 2021. On February 8, 2023, AMCI and LanzaTech NZ, Inc. consummated a business combination. On February 8, 2023, AMCI changed its name to LanzaTech Global, Inc.</w:t>
      </w:r>
    </w:p>
    <w:p>
      <w:pPr>
        <w:spacing w:after="0" w:line="180"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Our common stock is traded on Nasdaq under the symbol “LNZA.” The mailing address of our principal executive office is 8045 Lamon Avenue, Suite 400, Skokie, Illinois 60077, and our telephone number is (847) 324-2400. Our website address is https://lanzatech.com. The information contained in, or that can be accessed through, our website is not part of this prospectus supplement. We make available free of charge on our website our annual, quarterly and current reports, including amendments to such reports, as soon as reasonably practicable after we electronically file such material with, or furnish such material to, the SEC.</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80"/>
          </w:cols>
          <w:pgMar w:left="320" w:top="455"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 shares of common stock.</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13,089,163 shares of common stock.</w:t>
      </w:r>
    </w:p>
    <w:p>
      <w:pPr>
        <w:spacing w:after="0" w:line="200" w:lineRule="exact"/>
        <w:rPr>
          <w:sz w:val="20"/>
          <w:szCs w:val="20"/>
          <w:color w:val="auto"/>
        </w:rPr>
      </w:pPr>
    </w:p>
    <w:p>
      <w:pPr>
        <w:sectPr>
          <w:pgSz w:w="11900" w:h="16838" w:orient="portrait"/>
          <w:cols w:equalWidth="0" w:num="2">
            <w:col w:w="4180" w:space="160"/>
            <w:col w:w="6540"/>
          </w:cols>
          <w:pgMar w:left="320" w:top="455" w:right="69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estimate the net proceeds to us from this offering will be approximately $18,330,000, after deducting placement agent fees and estimated offering expenses payable by us.</w:t>
      </w:r>
    </w:p>
    <w:p>
      <w:pPr>
        <w:spacing w:after="0" w:line="167"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ind w:left="4340" w:right="2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See “Use of Proceeds”.</w:t>
      </w:r>
    </w:p>
    <w:p>
      <w:pPr>
        <w:sectPr>
          <w:pgSz w:w="11900" w:h="16838" w:orient="portrait"/>
          <w:cols w:equalWidth="0" w:num="1">
            <w:col w:w="10880"/>
          </w:cols>
          <w:pgMar w:left="320" w:top="455" w:right="699" w:bottom="1440" w:gutter="0" w:footer="0" w:header="0"/>
          <w:type w:val="continuous"/>
        </w:sectPr>
      </w:pP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“LNZA.”</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See “Risk Factors” beginning on page S-3 of this prospectus supplement and other information incorporated by reference into this prospectus supplement and the accompanying prospectus for a discussion of factors that you should read and consider before investing in our securities.</w:t>
      </w:r>
    </w:p>
    <w:p>
      <w:pPr>
        <w:spacing w:after="0" w:line="18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80"/>
          </w:cols>
          <w:pgMar w:left="320" w:top="455" w:right="699" w:bottom="1440" w:gutter="0" w:footer="0" w:header="0"/>
          <w:type w:val="continuous"/>
        </w:sectPr>
      </w:pPr>
    </w:p>
    <w:p>
      <w:pPr>
        <w:spacing w:after="0" w:line="225"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as shown above is based on 10,089,163 shares of common stock outstanding as of March 31, 2026 plus 1,000,000 shares of common stock issued to LanzaTech Global SPV, LLC (“LT Global”) on May 13, 2026, under a subscription agreement with LT Global dated May 10, 2026 (as amended, the “Subscription Agreement”) in a private placement, and excludes the following in each case as of such date:</w:t>
      </w:r>
    </w:p>
    <w:p>
      <w:pPr>
        <w:spacing w:after="0" w:line="85"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the put/call options set forth in the Subscription Agreement;</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7,800,000 shares of common stock issuable upon exercise of a warrant (the “PIPE Warrant”) issued to LT Global at an exercise price equal to $0.0000001 per share (subject to adjustments in certain events);</w:t>
      </w:r>
    </w:p>
    <w:p>
      <w:pPr>
        <w:spacing w:after="0" w:line="67" w:lineRule="exact"/>
        <w:rPr>
          <w:rFonts w:ascii="Times New Roman" w:cs="Times New Roman" w:eastAsia="Times New Roman" w:hAnsi="Times New Roman"/>
          <w:sz w:val="18"/>
          <w:szCs w:val="18"/>
          <w:color w:val="auto"/>
        </w:rPr>
      </w:pPr>
    </w:p>
    <w:p>
      <w:pPr>
        <w:ind w:left="1240" w:right="140" w:hanging="415"/>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44,661 shares of common stock issuable upon the exercise of certain warrants originally issued in a private placement in connection with our initial public offering and issued upon the conversion of certain working capital loans, at a price of $1,150.00 per warrant;</w:t>
      </w:r>
    </w:p>
    <w:p>
      <w:pPr>
        <w:spacing w:after="0" w:line="45" w:lineRule="exact"/>
        <w:rPr>
          <w:rFonts w:ascii="Times New Roman" w:cs="Times New Roman" w:eastAsia="Times New Roman" w:hAnsi="Times New Roman"/>
          <w:sz w:val="17"/>
          <w:szCs w:val="17"/>
          <w:color w:val="auto"/>
        </w:rPr>
      </w:pPr>
    </w:p>
    <w:p>
      <w:pPr>
        <w:ind w:left="1240" w:hanging="415"/>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78,081 shares of common stock issuable upon the exercise of the certain warrants originally issued in connection with our initial public offering entitling the holder thereof to purchase one share of the Company’s common stock at a price of $1,150.00 per warrant;</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of common stock issuable under a warrant held by an institutional holder at an exercise price of $10.00;</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20,735 shares of common stock issuable upon the exercise of certain other warrants;</w:t>
      </w:r>
    </w:p>
    <w:p>
      <w:pPr>
        <w:spacing w:after="0" w:line="130"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124,242 shares of common stock issuable upon the exercise of options outstanding as of March 31, 2026, at a weighted average exercise price of $219.23 per share of common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4,322 shares of common stock issuable upon the vesting of restricted stock units outstanding as of March 31, 2026;</w:t>
      </w:r>
    </w:p>
    <w:p>
      <w:pPr>
        <w:spacing w:after="0" w:line="3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6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86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35,883 shares of common stock issuable upon the vesting of performance stock units outstanding as of March 31, 2026; and</w:t>
      </w:r>
    </w:p>
    <w:p>
      <w:pPr>
        <w:spacing w:after="0" w:line="142"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198,137 shares of common stock reserved for future issuance under our long-term incentive plan.</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160"/>
          </w:cols>
          <w:pgMar w:left="320" w:top="455" w:right="1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and discussed under the section “Risk Factors” contained in our Annual Report on Form 10-K for the year ended December 31, 2025, which is incorporated herein by reference, together with the other information in this prospectus supplement, the accompanying prospectus, the information and documents incorporated by reference herein and any free writing prospectus prepared by or on behalf of us or to which we have referred you. If any of these risks actually occur, our business, financial condition, results of operations or prospects could be seriously harmed. This could cause the trading price of our common stock to decline, resulting in a loss of all or part of your investment. Please also read carefully the section in this prospectus supplement entitled “Special Note Regarding Forward-Looking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In addition, we may invest the net proceeds from this offering in short-term,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your investment.</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Purchasers of our securities in this offering will pay a price per share of common stock that exceeds the net tangible book value per share of our common stock. After giving effect to this offering at the offering price of $10.00 per share of common stock and, after deducting placement agent fees and estimated offering expenses payable by us, you will experience immediate dilution of $4.51 per share, representing the difference between the offering price and our as adjusted net tangible book value per share as of March 31, 2026 after giving effect to this offering. See the section entitled “Dilution”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the exercise of outstanding warrants and the consummation of any additional equity offerings.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the investors in this offering, and the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the investors in this offering.</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January 2026, we issued a warrant to LT Global to purchase up to 7,800,000 shares of common stock, which warrant is exercisable at any time prior to 5:00 p.m. New York City time on December 31, 2030. In addition, the Subscription Agreement provides that LT Global and the Company shall have the right from time to time, upon written notice to the other and subject to certain terms and conditions, to require the issuance and purchase of a number of additional shares of common stock at $10.00 per share for an aggregate purchase price of up to $20,000,000 at any time and from time to time prior to May 13, 2027. The issuance of additional shares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common stock upon the exercise of the warrant and/or the put/call options in the Subscription Agreement would increase the number of shares issued and outstanding, which would result in significant dilution for stockholders of their ownership and voting interests in the Company. Any additional equity financing we consummate would result in further dilution.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Fluctuations in the price of our common stock could contribute to the loss of all or part of your investment. The trading price of our common stock may be volatile and subject to wide fluctuations in response to various factors, some of which are beyond our control. Any of the factors listed below could have a material adverse effect on your investment in our common stock and our common stock may trade at prices significantly below the price you paid for them. In such circumstances, the trading price of our common stock may not recover and may experience a further decline. Factors affecting the trading price of our securities may include:</w:t>
      </w:r>
    </w:p>
    <w:p>
      <w:pPr>
        <w:spacing w:after="0" w:line="8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initiatives;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 liquidity and 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plants;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agreements with partners;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LanzaTech or the industry in which we operate in general;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LanzaTech;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and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and consumer sentiment towards our mission and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LanzaTech;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LanzaTech’s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common stock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listing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(the “Board”) or management;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tariffs, recessions, interest rates, fuel prices, international currency fluctuations, trade restrictions and acts of war or terrorism.</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specifically, have experienced extreme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volatility that has often been unrelated to the operating performance of particular companies. As a result of this volatility, you may not be able to sell your common stock at or above the price at which it was acquired. A loss of investor confidence in the market for the stocks of other companies which investors perceive to be similar to LanzaTech could depress our stock price regardless of our business, prospects, financial conditions or results of operations. A decline in the market price of our securities also could adversely affect our ability to issue additional securities and our ability to obtain financing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adversely affected by the future issuance and sale of shares of our common stock or other equity securities.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We cannot predict the size of future issuances or sales of our common stock or other equity securities, acquisitions or capital raising activities, or the effect, if any, that such issuances or sales may have on the market price of our common stock. The issuance and sale of substantial amounts of common stock or other equity securities or announcement that such issuances and sales may occur, could adversely affect the market price of our common stock.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net operating loss (“NOL”) carryforwards are subject to review and possible adjustment by the United States Internal Revenue Service (“IRS”) and state tax authorities. Under Sections 382 of the United States Internal Revenue Code of 1986, as amended (the “Code”), a corporation that undergoes an “ownership change” is subject to annual limitations on its ability to utilize its pre-change NOL carryforwards to offset future taxable income. An “ownership change” pursuant to Section 382 of the Code generally occurs if one or more stockholders or groups of stockholders who own at least 5% of a company’s stock increase their ownership (as measured by value) by more than 50 percentage points over their lowest ownership percentage within a rolling three-year period. We may have had a change in ownership in the past and may have a change in ownership as a result of this offering. Therefore, our ability to utilize our NOL carryforwards incurred prior to such potential ownership change may be subject in future periods to annual limitations. In addition, if we underwent or were to undergo an ownership change as a result of transactions involving our stock, including this offering or any offering of our stock or purchases or sales of stock between 5% holders, our ability to utilize NOL carryforwards could be further limited by Section 382 of the Code. As a result, a portion of our NOL carryforwards may expire before we would be able to use them. These limitations and/or our failure to generate sufficient taxable income may result in the expiration of NOL carryforwards before they are utilized. If we are unable to utilize our NOL carryforwards, there may be a negative impact on our financial position and results of operations.</w:t>
      </w:r>
    </w:p>
    <w:p>
      <w:pPr>
        <w:spacing w:after="0" w:line="19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addition to the aforementioned federal income tax implications pursuant to Section 382 of the Code, most states follow the general provisions of Section 382 of the Code, either explicitly or implicitly resulting in separate state limitations with respect to any NOL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9" w:lineRule="exact"/>
        <w:rPr>
          <w:sz w:val="20"/>
          <w:szCs w:val="20"/>
          <w:color w:val="auto"/>
        </w:rPr>
      </w:pPr>
    </w:p>
    <w:p>
      <w:pPr>
        <w:ind w:left="120" w:right="320"/>
        <w:spacing w:after="0" w:line="267" w:lineRule="auto"/>
        <w:rPr>
          <w:sz w:val="20"/>
          <w:szCs w:val="20"/>
          <w:color w:val="auto"/>
        </w:rPr>
      </w:pPr>
      <w:r>
        <w:rPr>
          <w:rFonts w:ascii="Times New Roman" w:cs="Times New Roman" w:eastAsia="Times New Roman" w:hAnsi="Times New Roman"/>
          <w:sz w:val="18"/>
          <w:szCs w:val="18"/>
          <w:i w:val="1"/>
          <w:iCs w:val="1"/>
          <w:color w:val="auto"/>
        </w:rPr>
        <w:t>For a discussion of the risks related to our common stock, investors should carefully read and consider the risks discussed below and under “Risk Factors–Risks Related to Ownership of Our Securities” in our Annual Report on Form 10-K for the year ended December 31, 2025 incorporated by reference herein.</w:t>
      </w:r>
    </w:p>
    <w:p>
      <w:pPr>
        <w:spacing w:after="0" w:line="27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not been an active market for trading in our common stock, and our previous securities offerings have concentrated, and the exercise of our warrants will concentrate, our share ownership and could further limit trading activity.</w:t>
      </w:r>
    </w:p>
    <w:p>
      <w:pPr>
        <w:spacing w:after="0" w:line="5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There currently is not an active market for trading in our common stock, which we believe is in part due to our previous securities offerings, which are described in our Annual Report on Form 10-K for the year ended December 31, 2025 and our Quarterly Report on Form 10-Q for the quarter ended March 31, 2026 incorporated by reference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the issuance of shares of common stock upon the exercise of previously-issued warrants will further concentrate the ownership of our common stock in a limited number of holders. Assuming (i) the full cashless exercise of the PIPE Warrant and (ii) the full exercise by either us or LT Global of the put/call options set forth in the Subscription Agreement, LT Global and certain other entities affiliated with Vinod Khosla (collectively, “Khosla Ventures”) would beneficially own approximately 69.3% of the 20,889,163 outstanding shares of common stock after giving effect to this offering, which would represent the largest ownership position of the Company, and the investors who purchased our securities issued in January 2026, together with Khosla Ventures, would collectively beneficially own approximately 92.7% of the outstanding shares of common stock after giving effect to this offering. No other existing stockholder would beneficially own 5% or more of the outstanding shares of common stock. To the extent that Khosla Ventures or any existing Company stockholder participates in any additional equity financing, their beneficial ownership would further increase. This concentration of share ownership could further limit trading activity in our common stock and make it more difficult for stockholders to sell their common stock at prevailing market prices or at all.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Khosla Ventures has significant influence over us, and their interests may conflict with those of our other stockholders in the future.</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Khosla Ventures currently has the largest ownership position in the Company. See “—There has not been an active market for trading in our common stock, and our previous securities offerings have concentrated, and the exercise of our warrants will concentrate, our share ownership and could further limit trading activity” above. As a result, and so long as they hold a significant amount of our voting power, Khosla Ventures will have significant influence over the outcome of all matters requiring stockholder approval, including the election and removal of our directors, and thereby our corporate and management policies. In addition, Khosla Ventures may vote their shares in a manner that, in their judgment, could enhance their investment, but which may conflict with our interests or those of our other stockholders. This concentration of ownership may also delay or deter possible changes in control of the Company or deprive our other stockholders of an opportunity to receive a premium for their shares of common stock as part of a sale of the Company, which may ultimately affect the market price of our common stock.</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this offering will be approximately $18,330,000, after deducting placement agent fees and estimated offering expenses payable by us. We intend to use the net proceeds from this offering for general corporate purposes.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amount, timing and nature of specific expenditures of net proceeds from this offering will depend on a number of factors, including the factors described under “Risk Factors” in this prospectus supplement, the accompanying prospectus and in the documents incorporated by reference herein and therein, as well as the amount of cash used in our operations. As of the date of this prospectus supplement, we cannot specify with certainty the particular uses of the proceeds from this offering. Accordingly, we will retain broad discretion over the use of such proceeds.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you invest in our securities in this offering, your ownership interest will be diluted immediately to the extent of the difference between the offering price per share of our common stock and the as adjusted net tangible book value per share of our common stock after this offering.</w:t>
      </w:r>
    </w:p>
    <w:p>
      <w:pPr>
        <w:spacing w:after="0" w:line="162"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historical net tangible book value of our common stock as of March 31, 2026 was $48.1 million or $4.76 per share. Historical net tangible book value per share of our common stock represents our total tangible assets less total liabilities, divided by the number of shares of our common stock outstanding as of that date.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2,000,000 shares of common stock in this offering at an offering price of $10.00 per share, for estimated net proceeds of $18,330,000, after deducting placement agent fees and estimated offering expenses payable by us, our as adjusted net tangible book value as of March 31, 2026, would have been $66.4 million or $5.49 per share of our common stock. This represents an immediate increase in net tangible book value per share of $0.73 to the existing stockholders and an immediate dilution in net tangible book value per share of $4.51 to new investors. The following table illustrates this per share dilution to new investors: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2026</w:t>
            </w:r>
          </w:p>
        </w:tc>
        <w:tc>
          <w:tcPr>
            <w:tcW w:w="13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after giving effect to the offering</w:t>
            </w:r>
          </w:p>
        </w:tc>
        <w:tc>
          <w:tcPr>
            <w:tcW w:w="138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4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6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6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above discussion and table also excludes 1,000,000 shares of common stock issued to LT Global under the Subscription Agreement and 2,000,000 shares of common stock issuable upon the exercise of the put/call options set forth in the Subscription Agreement. The above discussion and table is based on 10,089,163 shares of our common stock outstanding as of March 31, 2026, and exclude, as of March 31, 2026, the following:</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the put/call options set forth in the Subscription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7,800,000 shares of common stock issuable upon exercise of the PIPE Warrant;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44,661 shares of common stock issuable upon the exercise of certain warrants originally issued in a private placement in connection with our initial public offering and issued upon the conversion of certain working capital loans, at a price of $1,150.00 per warrant;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78,081 shares of common stock issuable upon the exercise of the certain warrants originally issued in connection with our initial public offering entitling the holder thereof to purchase one share of the Company’s common stock at a price of $1,150.00 per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of common stock issuable under a warrant held by an institutional holder at an exercise price of $10.00;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20,735 shares of common stock issuable upon the exercise of certain other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124,242 shares of common stock issuable upon the exercise of options outstanding as of March 31, 2026, at a weighted average exercise price of $219.23 per share of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4,322 shares of common stock issuable upon the vesting of restricted stock units outstanding as of March 31, 2026;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35,883 shares of common stock issuable upon the vesting of performance stock units outstanding as of March 31,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198,137 shares of common stock reserved for future issuance under our long-term incentive plan.</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restricted stock units are vested and settled,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securities, the issuance of these securities may result in further dilution to our stockholders. See “Risk Factors–You may experience future dilution as a result of the exercise of outstanding warrants and the consummation of any additional equity offerings.”</w:t>
      </w:r>
    </w:p>
    <w:p>
      <w:pPr>
        <w:spacing w:after="0" w:line="183"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information above reflects and assumes no exercise or settlement of the stock options, restricted stock units or warrants, including the PIPE Warrant, outstanding as of March 31, 2026.</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does not purport to be complete and is subject to, and qualified in its entirety by, our certificate of incorporation and bylaws, which are incorporated by reference into this prospectus supplement and the accompanying prospectus, and by applicable law.</w:t>
      </w:r>
    </w:p>
    <w:p>
      <w:pPr>
        <w:spacing w:after="0" w:line="17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shares of our common stock as set forth in this prospectus supplement. The following section describes the material features and rights of our common stock, $0.0000001 par value per share, and does not purport to be complete. It is subject to, and qualified in its entirety by reference to, our second amended and restated certificate of incorporation, as amended (the “Charter”) and our Bylaws (the “Bylaws”) and applicable provisions of the Delaware General Corporation Law (“DGCL”). Each of our Charter and Bylaws is incorporated by reference as an exhibit to the registration statement of which this prospectus supplement and the accompanying prospectus form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Charter, we have the authority to issue 25,800,000 shares of common stock. Our common stock is listed on Nasdaq under the symbol “LNZA.” The rights, preferences and privileges of holders of our common stock are subject to, and may be adversely affected by, the rights of holders of shares of any series of the preferred stock we may designate and issue in the future. As of March 31, 2026, there were 10,089,163 shares of our common stock outstanding and no shares of preferred stock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outstanding shares of our common stock are, and any shares of common stock issued upon conversion of securities convertible into our common stock will be, duly authorized, validly issued,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shares of common stock possess all voting power for the election of LanzaTech’s directors and all other matters requiring stockholder action. Holders of shares of common stock are entitled to one vote for each share held on all matters to be voted on by stockholders.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each of which will generally serve for a term of three years with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the preferred stock, holders of shares of common stock will be entitled to receive such dividends, if any, as may be declared from time to time by the Board in its discretion out of funds legally available therefor. Any payment of cash dividends in the future will be dependent upon LanzaTech’s revenues and earnings, if any, capital requirements and general financial conditions. In no event will any stock dividends or stock splits or combinations of stock be declared or made on shares of common stock unless the shares of common stock at the time outstanding are treated equally and identically.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Dissolution and Winding Up</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 the event of LanzaTech’s voluntary or involuntary liquidation, dissolution, distribution of assets or winding-up, the holders of shares of common stock will be entitled to receive an equal amount per share of all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LanzaTech’s assets of whatever kind available for distribution to stockholders, after the rights of the holders of any preferred stock have been satisfied.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have no preemptive or other subscription rights. No sinking fund provisions are applicable to the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Charter and Bylaws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Charter and Bylaws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131" w:lineRule="exact"/>
        <w:rPr>
          <w:sz w:val="20"/>
          <w:szCs w:val="20"/>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20,000,000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of LanzaTech may be changed only by resolution of the Board;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13"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all of LanzaTech’s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by the Board pursuant to a resolution adopted by a majority of the Board;</w:t>
      </w:r>
    </w:p>
    <w:p>
      <w:pPr>
        <w:spacing w:after="0" w:line="130" w:lineRule="exact"/>
        <w:rPr>
          <w:rFonts w:ascii="Times New Roman" w:cs="Times New Roman" w:eastAsia="Times New Roman" w:hAnsi="Times New Roman"/>
          <w:sz w:val="18"/>
          <w:szCs w:val="18"/>
          <w:color w:val="auto"/>
        </w:rPr>
      </w:pPr>
    </w:p>
    <w:p>
      <w:pPr>
        <w:jc w:val="both"/>
        <w:ind w:left="1080" w:right="6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will be divided into three classes of directors, with the classes to be as nearly equal as possible, and with the directors serving three-year terms, therefore making it more difficult for stockholders to change the composition of the Board;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Board as well as for another party to obtain control of LanzaTech by replacing the Board. Because the Board has the power to retain and discharge the executive officers of the Company, these provisions could also make it more difficult for existing stockholders or another party to effect a change in management. In addition, the authorization of undesignated preferred stock makes it possible for the Board to issue shares of preferred stock with voting or other rights or preferences that could impede the success of any attempt to change the control of LanzaTech.</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LanzaTech’s vulnerability to hostile takeovers and to discourage certain tactics that may be used in proxy fights. However, such provisions could have the effect of discouraging others from making tender offers for LanzaTech’s shares and may have the effect of delaying changes in its control or management. As a consequence, these provisions may also inhibit fluctuations in the market price of LanzaTech’s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Anti-Takeover Provisions of Delaware Law</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LanzaTech is subject to the provisions of Section 203 of the DGCL, which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a corporation’s assets. However, the above provisions of Section 203 would not apply if:</w:t>
      </w:r>
    </w:p>
    <w:p>
      <w:pPr>
        <w:spacing w:after="0" w:line="67" w:lineRule="exact"/>
        <w:rPr>
          <w:sz w:val="20"/>
          <w:szCs w:val="20"/>
          <w:color w:val="auto"/>
        </w:rPr>
      </w:pPr>
    </w:p>
    <w:p>
      <w:pPr>
        <w:ind w:left="1080" w:right="6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board of directors approves the transaction that made the stockholder an interested stockholder prior to the date of the transaction;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LanzaTech.</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members of each class serving staggered three-year terms. Our Charter provides that the authorized number of directors may be changed only by resolution of the Board. Directors may be removed only for cause by the affirmative vote of the holders of at least sixty-six and two-thirds percent (66 2/3%) of the votes that all our stockholders would be entitled to vote generally in an election of directors voting together as a single class. Any vacancy on the Board, including a vacancy resulting from an enlargement of the Board, may be filled only by vote of a majority of our directors then in office, even if less than a quorum. Each director so chosen shall hold office until the next election of the class for which such director shall have been chosen and until his or her successor shall have been duly elected and qualified.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Charter provides that any action required or permitted to be taken by the stockholders of the Company must be effected by a duly called annual or special meeting of such stockholders and may not be effected by written consent of the stockholders. Our Charter further provides that meetings of stockholders of the Company may be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called only by the Chairman of the Board, the Chief Executive Officer of the Company, or the Board pursuant to a resolution adopted by a majority thereof, and that the ability of the stockholders of the Company to call a special meeting is specifically denied.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Charter requires, to the fullest extent permitted by law, that derivative actions brought in our name, actions against directors, officers and employees for breach of fiduciary duty, arising pursuant to any provision of the DGCL, Charter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Any person or entity purchasing or otherwise acquiring any interest in shares of our capital stock shall be deemed to have notice of and consented to the forum provisions in the Charter.</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Charter provides that the exclusive forum provision is applicable to the fullest extent permitted by applicable law. Notwithstanding the foregoing, the choice of forum provision will not apply to claims brought to enforce any liability or duty created by the Securities Act, the Exchange Act or any other claim for which the federal courts have exclusive jurisdiction. Unless the Company consents in writing to the selection of an alternative forum,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TO NON-U.S. HOLDERS</w:t>
      </w:r>
    </w:p>
    <w:p>
      <w:pPr>
        <w:spacing w:after="0" w:line="22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“Non-U.S. Holder” means a beneficial owner of our common stock that is not, for U.S.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common stock, the tax treatment of a partner generally will depend upon the status of the partner and the activities of the partnership. For purposes of this summary, a Non-U.S. Holder does not include a partnership or other entity or arrangement treated as a partnership for U.S. federal income tax purposes. If you are a partnership or a partner of a partnership considering an investment in our common stock, you should consult your tax advisors.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we do make a distribution of cash or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“—Gain on Disposition of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Non-U.S.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67" w:lineRule="exact"/>
        <w:rPr>
          <w:sz w:val="20"/>
          <w:szCs w:val="20"/>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8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currently are not, and we do not anticipate becoming, a USRPHC for U.S. federal income tax purposes.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2,000,000 shares of common stock at a price of $10.00 per share. We have entered into a securities purchase agreement, dated as of May 15, 2026 (the “Securities Purchase Agreement”), directly with the purchasing investors relating to the sale of our common stock pursuant to this offering.</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Pursuant to a placement agency agreement, dated as of May 15, 2026 (the “Placement Agency Agreement”), D. Boral Capital LLC (the “Placement Agent”) has agreed to act as the exclusive placement agent in connection with this offering. The Placement Agent is not purchasing or selling any of the securities offered by this prospectus supplement but will use its reasonable best efforts to arrange for the sale of the securities offered by this prospectus supplement. The Placement Agent may engage one or more subagents or selected dealers in connection with this offering. The offering is currently expected to close on or about May 18, 2026, subject to customary closing conditions without further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on a per share and total basis, the offering price, placement agent fees and proceeds to us, before expenses.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1,300,000.00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18,700,000.00</w:t>
            </w:r>
          </w:p>
        </w:tc>
      </w:tr>
    </w:tbl>
    <w:p>
      <w:pPr>
        <w:spacing w:after="0" w:line="225" w:lineRule="exact"/>
        <w:rPr>
          <w:sz w:val="20"/>
          <w:szCs w:val="20"/>
          <w:color w:val="auto"/>
        </w:rPr>
      </w:pPr>
    </w:p>
    <w:p>
      <w:pPr>
        <w:ind w:left="540" w:right="100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(i) pay a cash fee to the Placement Agent equal to 6.5% of the aggregate gross proceeds raised in this offering and (ii) reimburse certain expenses of the Placement Agent in connection with this offering.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subject to compliance with FINRA Rule 5110(f)(2)(D), we have agreed to reimburse the Placement Agent for all reasonable and documented out-of-pocket costs and expenses incident to the offering and the performance of the obligations of the Placement Agent (including, without limitation, the fees and expenses of the Placement Agent’s outside attorneys), provided that, such costs and expenses shall not exceed $50,000 without our prior written approval. We estimate our total expenses associated with this offering, excluding placement agent fees and expenses, to be approximately $370,000.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public offering price of the securities we are offering was negotiated between us and the investors, in consultation with the Placement Agent based on the trading of our common stock prior to the offering, among other things. Other factors considered in determining the public offering price of the securities we are offering include our history and prospects,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liabilities under the Securities Act. We have also agreed to contribute to payments the Placement Agent may be required to make in respect of such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This prospectus supplement may be made available in electronic format on websites or through other online services maintained by the Placement Agent, or by an affiliate. Other than this prospectus supplement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electronic format, the information on the Placement Agent’s website and any information contained in any other website maintained by the Placement Agent or by an affiliate is not part of this prospectus supplement, the accompanying prospectus or the registration statement of which this prospectus supplement is a part, has not been approved and/or endorsed by us or the Placement Agent, and should not be relied upon by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 Restrictions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any shares of common stock sold by it while acting as a principal might be deemed to be underwriting discounts or commissions under the Securities Act. As an underwriter, the Placement Agent would be required to comply with the requirements of the Securities Act and the Exchange Act, including Rule 415(a)(4) under the Securities Act and Rule 10b-5 and Regulation M promulgated under the Exchange Act.</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These rules and regulations may limit the timing of purchases and sales of shares offered hereby by the Placement Agent acting as a principal. Under these rules and regulations, the Placement Agent may not engage in any stabilization activity in connection with our securities; and may not bid for or purchase any of our securities or attempt to induce any person to purchase any of our securities, other than as permitted under the Exchange Act, until it has completed its participation in the distribution. In connection with this offering, the Placement Agent may engage in passive market making transactions in our common stock on Nasdaq in accordance with Rule 103 of Regulation M promulgated under the Exchange Act during a period before the commencement of offers or sales of shares of our common stock and extending through the completion of the distribution.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Subsequent Equity Sales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agreed that for a period of ninety (90) days following May 15, 2026, we will not directly or indirectly issue, offer, sell, grant any option or right to purchase, or otherwise dispose of (or announce any issuance, offer, sale, grant of any option or right to purchase or other disposition of) any equity security or any equity-linked or related security (including any convertible securities, debt with or related to equity, any preferred stock or any purchase rights), subject to certain exceptions. In addition, we have agreed not to enter into any Variable Rate Transaction (as defined in the Securities Purchase Agreement) for a period of ninety (90) days following May 18, 2026. A “Variable Rate Transaction” includes transactions involving the issuance of common stock equivalents with floating conversion or exercise prices, or any “at-the-market” offering, equity line of credit or similar continuous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directors and executive officers have entered into lock-up agreements. Under these agreements, these individuals agreed, subject to specified exceptions, not to sell or transfer any shares of common stock or securities convertible, exchangeable or exercisable into, common stock of the Company beneficially owned, held or hereafter acquired by such individuals during a period ending sixty (60) days after the completion of this offering (the “Restriction Period”). Specifically, these individuals agreed, in part, subject to certain exceptions, not to:</w:t>
      </w:r>
    </w:p>
    <w:p>
      <w:pPr>
        <w:spacing w:after="0" w:line="85" w:lineRule="exact"/>
        <w:rPr>
          <w:sz w:val="20"/>
          <w:szCs w:val="20"/>
          <w:color w:val="auto"/>
        </w:rPr>
      </w:pPr>
    </w:p>
    <w:p>
      <w:pPr>
        <w:ind w:left="108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hypothecate, pledge or otherwise dispose of (or enter into any transaction which is designed to, or might reasonably be expected to, result in the disposition at any time, including in the future (whether by actual disposition or effective economic disposition due to cash settlement or otherwise) by them or any of their affiliates (as such term is defined in Rule 501(b) under the Securities Act) (each a “Company Affiliate”) or any person in privity with them or any of their Company Affiliate), directly or indirectly, or establish or increase a put equivalent position or liquidate or decrease a call equivalent position within the meaning of Section 16 of the Exchange Act, with respect to, any shares of common stock of the Company or securities convertible, exchangeable or exercisable into, common stock of the Company beneficially owned, held or hereafter acquired by them;</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derivatives transaction that transfers to another, in whole or in part, any of the economic benefits or risks of ownership of common stock or such other securities convertible, exchangeable or exercisable into, common stock, whether any such transaction is to be settled by delivery of shares of common stock or other securities, in cash or otherwise;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or cause to be filed a registration statement, including any amendments thereto, with respect to the registration of any common stock or securities convertible into or exercisable or exchangeable for shares of common stock or any other securities of the Company;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 actions in this paragraph, during the Restriction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granted the Placement Agent a right of first refusal, for a period equal to six (6) months after the closing of this offering, to act as our exclusive placement agent in connection with any additional equity financings to be executed in the form of a registered direct offering, subject to our determination to pursue any such financing during such period and agreeing on mutually acceptable fee arrangements.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and its affiliates may in the future provide various investment banking, financial advisory and other services to us and our affiliates for which services they may receive customary fees. Subject to Regulation M and other applicable statutes and regulations, in the course of its businesses, the Placement Agent and its affiliates may actively trade our securities or loans for their own account or for the accounts of customers, and, accordingly, the Placement Agent may at any time hold long or short positions in such securities or loans.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foregoing includes a brief summary of certain provisions of the Placement Agency Agreement and Securities Purchase Agreement that we have entered into and does not purport to be a complete statement of their terms and conditions. A copy of the form of Securities Purchase Agreement will be filed with the SEC and incorporated by reference into the registration statement of which this prospectus supplement and the accompanying prospectus form a part.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by Simpson Thacher &amp; Bartlett LLP, New York, New York. The placement agent is being represented by Willkie Farr &amp; Gallagher LLP, Palo Alto, California in connection with this offering.</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of LanzaTech Global,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0"/>
          </w:cols>
          <w:pgMar w:left="320" w:top="455"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7"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4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website address is www.lanzatech.com. The information on, or that can be accessed through, our website is not part of this prospectus supplement or the accompanying prospectus.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important business and financial information about us that is not included in or delivered with this prospectus supplement or the accompanying prospectus. The information incorporated by reference is considered to be part of this prospectus supplement and the accompanying prospectus, except for any information superseded by information in this prospectus supplement and the accompanying prospectus. This prospectus supplement and the accompanying prospectus incorporate by reference the documents set forth below that have previously been filed with the SEC:</w:t>
      </w:r>
    </w:p>
    <w:p>
      <w:pPr>
        <w:spacing w:after="0" w:line="8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31,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14, 2026;</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our Definitive Proxy Statement on </w:t>
      </w:r>
      <w:hyperlink r:id="rId4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2026;</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auto"/>
          </w:rPr>
          <w:t xml:space="preserve">our Current Reports on Form 8-K and Form 8-K/A, as applicable, filed with the SEC on </w:t>
        </w:r>
        <w:r>
          <w:rPr>
            <w:rFonts w:ascii="Times New Roman" w:cs="Times New Roman" w:eastAsia="Times New Roman" w:hAnsi="Times New Roman"/>
            <w:sz w:val="18"/>
            <w:szCs w:val="18"/>
            <w:u w:val="single" w:color="auto"/>
            <w:color w:val="0000EE"/>
          </w:rPr>
          <w:t>January 23,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18, 2026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 xml:space="preserve">April 16, 2026 </w:t>
        </w:r>
      </w:hyperlink>
      <w:hyperlink r:id="rId4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April 17, 2026</w:t>
        </w:r>
      </w:hyperlink>
      <w:hyperlink r:id="rId46">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49">
        <w:r>
          <w:rPr>
            <w:rFonts w:ascii="Times New Roman" w:cs="Times New Roman" w:eastAsia="Times New Roman" w:hAnsi="Times New Roman"/>
            <w:sz w:val="18"/>
            <w:szCs w:val="18"/>
            <w:u w:val="single" w:color="auto"/>
            <w:color w:val="0000EE"/>
          </w:rPr>
          <w:t>Exhibit 4.14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additional documents that we may file with the SEC under Sections 13(a), 13(c), 14 or 15(d) of the Exchange Act (excluding any information furnished pursuant to Item 2.02 or Item 7.01 on any current report on Form 8-K and any corresponding information furnished under Item 9.01 or included as an exhibit therein) after the date of this prospectus supplement and prior to the completion of this offering contemplated hereby, but excluding any information furnished to, rather than filed with, the SEC.</w:t>
      </w:r>
    </w:p>
    <w:p>
      <w:pPr>
        <w:spacing w:after="0" w:line="180" w:lineRule="exact"/>
        <w:rPr>
          <w:rFonts w:ascii="Times New Roman" w:cs="Times New Roman" w:eastAsia="Times New Roman" w:hAnsi="Times New Roman"/>
          <w:sz w:val="18"/>
          <w:szCs w:val="18"/>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LanzaTech Global,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8045 Lamon Avenue, Suite 400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Skokie, Illinois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(847) 324-2400</w:t>
      </w:r>
    </w:p>
    <w:p>
      <w:pPr>
        <w:spacing w:after="0" w:line="20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those documents.</w:t>
      </w:r>
    </w:p>
    <w:p>
      <w:pPr>
        <w:spacing w:after="0" w:line="158" w:lineRule="exact"/>
        <w:rPr>
          <w:rFonts w:ascii="Times New Roman" w:cs="Times New Roman" w:eastAsia="Times New Roman" w:hAnsi="Times New Roman"/>
          <w:sz w:val="18"/>
          <w:szCs w:val="18"/>
          <w:color w:val="auto"/>
        </w:rPr>
      </w:pPr>
    </w:p>
    <w:p>
      <w:pPr>
        <w:ind w:left="5460"/>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182245</wp:posOffset>
            </wp:positionV>
            <wp:extent cx="166306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6630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From time to time, we may offer and sell up to $300,000,000 in the aggregate of the securities identified above, either individually or in combination, at prices and on terms described in one or more supplements to this prospectus. We may also offer securities as may be issuable upon conversion, redemption, repurchase, exchange or exercise of any securities registered hereunder, including any applicable anti-dilution provisions.</w:t>
      </w:r>
    </w:p>
    <w:p>
      <w:pPr>
        <w:spacing w:after="0" w:line="15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The prospectus supplement and any related free writing prospectus may also add, update or change information contained in this prospectus.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common stock and our warrants are listed on the Nasdaq Capital Market (“Nasdaq”) under the symbol “LNZA” and “LNZAW”, respectively. On October 4, 2024, the last reported sales price of our common stock was $2.04 per share. The applicable prospectus supplement will contain information, where applicable, as to other listings, if any, on the Nasdaq Capital Market or other securities exchange of the securities covered by the prospectus supplement.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directly to purchasers or through a combination of these methods, on a continuous or delayed basis from time to time. See “Plan of Distribution” in this prospectus and in the applicable prospectus supplement. The names of any underwriters, dealers or agents involved in the distribution of our securities, their compensation and any option they hold to acquire additional securities will be described in the applicable prospectus supplement. Net proceeds from the sale of securities will be set forth in the applicable prospectus supplement.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and our headquarters are in Skokie, Illinois. We are not a company that was formed under the laws of the People’s Republic of China. However, we have business operations in China, several strategic investors located in China, including Sinopec Capital Co., Ltd. (“Sinopec”), and a core team of technical, business and administrative professionals at our office in Shanghai, which support the ongoing operations and further growth of the business in China. We also hold a minority ownership stake in Beijing Shougang LanzaTech Technology Co., Ltd. (the “Shougang Joint Venture”). We license our technology in China to the Shougang Joint Venture. Entities in which the Shougang Joint Venture holds a controlling interest currently produce low carbon ethanol at four commercial scale facilities using our process technology, which, in addition to its use as fuel, is transported and processed for use in consumer products. For more information on the Shougang Joint Venture, see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 — Key Collaboration Agreements — Shougang Joint Venture</w:t>
      </w:r>
      <w:r>
        <w:rPr>
          <w:rFonts w:ascii="Times New Roman" w:cs="Times New Roman" w:eastAsia="Times New Roman" w:hAnsi="Times New Roman"/>
          <w:sz w:val="18"/>
          <w:szCs w:val="18"/>
          <w:color w:val="auto"/>
        </w:rPr>
        <w:t>” included in</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Item 1 of our Annual Report on Form 10-K for the year ended December 31, 2023,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determined the Shougang Joint Venture to be a variable interest entity (“VIE”) for which we are not the primary beneficiary. This VIE structure was implemented to effectuate the intellectual property licensing arrangement between us and the Shougang Joint Venture and is not used to provide investors with exposure to foreign investment in China-based companies where Chinese law prohibits direct foreign investment in the operating companies. We had previously determined that we were able to exercise significant influence, but no control, over the Shougang Joint Venture through our equity holdings in the Shougang Joint Venture, our representation on the VIE’s board of directors and participation in the policy-making process. Although we have the right to appoint and elect, and currently have appointed and elected, one director to the Shougang Joint Venture’s board of directors, the agreements between us, the Shougang Joint Venture and Sinopec do not provide us with the power to direct the activities that are most significant to the economic performance of the Shougang Joint Venture. Therefore we do not consolidate the Shougang Joint Venture in our financial statements. On September 30, 2022, we determined that we no longer had significant influence over the operating and financial policies of the Shougang Joint Venture due to the significant decrease in the Shougang Joint Venture’s technological dependence on us.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are incorporated and headquartered in the United States, we may still be subject to certain PRC laws due to our business operations in China. We face risks and uncertainties associated with complex and evolving PRC laws and regulations and as to whether and how recent PRC government statements and regulatory developments, such as those relating to cross-border data security, anti-monopoly concerns and VIEs, would apply to us or our operations. Any application of these statements or regulatory actions to us or our operations in the future, including a limitation on or disallowance of the VIE structure by Chinese regulatory authorities, could result in a material change in our operations or in the value of the shares of our common stock. For more information, see the risks and uncertainties described under the caption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on page 12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19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Pursuant to our license agreement with the Shougang Joint Venture, the Shougang Joint Venture transfers required payments by wire transfer to LanzaTech, Inc., our wholly owned subsidiary. As of the date of this prospectus, transfers of cash or other types of assets have been made between the Shougang Joint Venture and LanzaTech and its subsidiaries. The payments made between the Shougang Joint Venture and LanzaTech, Inc. have been in the ordinary course of business and have consisted of payments from LanzaTech, Inc. to the Shougang Joint Venture for the sale of ethanol and payments from the Shougang Joint Venture to LanzaTech, Inc. for sales of microbes, media, consumables and equipment. Payments from LanzaTech, Inc. to the Shougang Joint Venture were approximately $1.9 million and $1.1 million in the fiscal years ended December 31, 2023 and 2022, respectively, and $1.4 million during the six months ended June 30, 2024. No payments were made from LanzaTech, Inc. to the Shougang Joint Venture in the fiscal year ended December 31, 2021. Payments from the Shougang Joint Venture to LanzaTech, Inc. were approximately $0.6 million and</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$0.3 million in the fiscal years ended December 31, 2023 and 2022, respectively, and $0.3 million during the six months ended June 30, 2024. We did not receive any payments from the Shougang Joint Venture in the fiscal year ended December 31, 2021. We have not in the past and do not intend in the future to distribute to our stockholders any amounts that we receive from the Shougang Joint Venture. For more information, see our audited financial statements incorporated by reference in this prospectus.</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auditor, Deloitte &amp; Touche LLP, is not headquartered in mainland China or Hong Kong and therefore is not subject to the determinations announced by the Public Company Accounting Oversight Board (the “PCAOB”) on December 16, 2021 regarding the PCAOB’s inability to inspect or investigate registered public accounting firms headquartered in mainland China or Hong Kong. The Holding Foreign Companies Accountable Act and related regulations are not applicable to us.</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on page 12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020"/>
          </w:cols>
          <w:pgMar w:left="320" w:top="455" w:right="5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TABLE OF CONTENTS</w:t>
            </w:r>
          </w:p>
        </w:tc>
        <w:tc>
          <w:tcPr>
            <w:tcW w:w="23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2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6"/>
          </w:tcPr>
          <w:p>
            <w:pPr>
              <w:spacing w:after="0"/>
              <w:rPr>
                <w:sz w:val="17"/>
                <w:szCs w:val="17"/>
                <w:color w:val="auto"/>
              </w:rPr>
            </w:pPr>
          </w:p>
        </w:tc>
        <w:tc>
          <w:tcPr>
            <w:tcW w:w="480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20" w:type="dxa"/>
            <w:vAlign w:val="bottom"/>
            <w:gridSpan w:val="1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20" w:type="dxa"/>
            <w:vAlign w:val="bottom"/>
            <w:gridSpan w:val="1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5460" w:type="dxa"/>
            <w:vAlign w:val="bottom"/>
            <w:gridSpan w:val="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20" w:type="dxa"/>
            <w:vAlign w:val="bottom"/>
            <w:gridSpan w:val="9"/>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9"/>
          </w:tcPr>
          <w:p>
            <w:pPr>
              <w:spacing w:after="0"/>
              <w:rPr>
                <w:sz w:val="17"/>
                <w:szCs w:val="17"/>
                <w:color w:val="auto"/>
              </w:rPr>
            </w:pPr>
          </w:p>
        </w:tc>
        <w:tc>
          <w:tcPr>
            <w:tcW w:w="514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60" w:type="dxa"/>
            <w:vAlign w:val="bottom"/>
            <w:gridSpan w:val="1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20" w:type="dxa"/>
            <w:vAlign w:val="bottom"/>
          </w:tcPr>
          <w:p>
            <w:pPr>
              <w:spacing w:after="0"/>
              <w:rPr>
                <w:sz w:val="17"/>
                <w:szCs w:val="17"/>
                <w:color w:val="auto"/>
              </w:rPr>
            </w:pPr>
          </w:p>
        </w:tc>
        <w:tc>
          <w:tcPr>
            <w:tcW w:w="8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U.S. Securities and Exchange Commission (“SEC”), using the “shelf” registration process under the Securities Act of 1933, as amended (the “Securities Act”). Under this shelf registration statement, we may offer and sell from time to time, separately or together, any combination of our common stock, preferred stock, warrants, debt securities, subscription rights, and units in one or more offerings at an aggregate offering price of up to $300,000,000. The preferred stock, debt securities, warrants, subscription rights and units may be convertible into, or exercisable or exchangeable for, our common or preferred stock or other securities issued by us.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We may also prepare free writing prospectuses that describe particular securities. Any free 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“LanzaTech,” “we,” “us,” “our” and similar terms refer to LanzaTech Global, Inc. (formerly known as AMCI Acquisition Corp. II) and its consolidated subsidiaries (including LanzaTech NZ, Inc.). References to “PRC” or “China” refer to the People’s Republic of China, which, solely for the purpose of this prospectus, exclude Taiwan and the special administrative regions of Hong Kong and Macau. We have no operations in Taiwan, Hong Kong, or Macau; however, the legal and operational risks associated with operating in China that are described in this prospectus also apply to any operations in Hong Kong and Macau.</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describes the terms of this offering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https://lanzatech.com. The reference to our website is not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intended to be an active link and the information on, or that can be accessed through, our website is not, and you must not consider the information to be, a part of this prospectus or any other filings we make with the SEC.</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or in addition to the information contained in this prospectus or in any applicable prospectus supplement or in any related free writing prospectus. Accordingly, we take no responsibility for, or can provide any assurance as to the reliability of, any information that others may provide. You should not assume that the information in this prospectus, any applicable prospectus supplement or any free writing prospectus that we have prepared is accurate as of any date other than the date of those documents, and that any information in documents that we have incorporated by reference is accurate only as of the date of such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statements that are forward-looking and as such are not historical facts.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Such statements are based on the beliefs of, as well as assumptions made by and information currently available to, LanzaTech’s management.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resolve material litigation proceedings in our favor;</w:t>
      </w:r>
    </w:p>
    <w:p>
      <w:pPr>
        <w:spacing w:after="0" w:line="130" w:lineRule="exact"/>
        <w:rPr>
          <w:rFonts w:ascii="Times New Roman" w:cs="Times New Roman" w:eastAsia="Times New Roman" w:hAnsi="Times New Roman"/>
          <w:sz w:val="18"/>
          <w:szCs w:val="18"/>
          <w:color w:val="auto"/>
        </w:rPr>
      </w:pPr>
    </w:p>
    <w:p>
      <w:pPr>
        <w:ind w:left="1080" w:right="1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financing in the future to fund our operations and complete the development and commercialization of our process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successfully maintain and manage relationships with industry partners;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governmental programs designed to incentivize the production and consumption of low-carbon fuels and carbon capture and utilization;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growth, costs and expenses, availability of resources and capital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revenue from engineering services, sales of equipment packages and sales of CarbonSmart products and to improve our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ownership stake in LanzaJet, Inc. through the sublicensing of LanzaJet, Inc.’s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collaborate with our partners and progress projects into the construction phase;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“Risk Factors” and elsewhere in this prospectus. Moreover, we operate in a competitive industry, and new risks emerge from time to time. It is not possible for the management of LanzaTech to predict all risks, nor can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LanzaTech does not undertake any obligation to update publicly any forward-looking statements for any reason after the date of this prospectus to conform these statements to actual results or to changes in expectations, except as required by law.</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have been filed as exhibits to the registration statement of which this prospectus forms a part, and any accompanying prospectus supplement with the understanding that the actual future results, levels of activity, performance, events and circumstances of LanzaTech may be materially different from what is expected.</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55"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MARKET, INDUSTRY AND OTHER DATA</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LanzaTech’s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WHERE YOU CAN FIND MORE INFORMATION</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www.sec.gov.</w:t>
      </w:r>
    </w:p>
    <w:p>
      <w:pPr>
        <w:spacing w:after="0" w:line="18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www.lanzatech.com, at which you may access these materials free of charge as soon as reasonably practicable after they are electronically filed with, or furnished to, the SEC. LanzaTech’s website and the information contained on, or that can be accessed through, such website are not deemed to be incorporated by reference in, and are not considered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the SEC, which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001-40282 unless otherwise stated), which are considered to be a part of this prospectus:</w:t>
      </w:r>
    </w:p>
    <w:p>
      <w:pPr>
        <w:spacing w:after="0" w:line="97" w:lineRule="exact"/>
        <w:rPr>
          <w:sz w:val="20"/>
          <w:szCs w:val="20"/>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filed with the SEC on February 29, 2024 (including the portions of our Definitive Proxy Statement on </w:t>
      </w:r>
      <w:hyperlink r:id="rId6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 incorporated by reference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9,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with the SEC on August 8, 2024;</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8"/>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28, 2024</w:t>
        </w:r>
        <w:r>
          <w:rPr>
            <w:rFonts w:ascii="Times New Roman" w:cs="Times New Roman" w:eastAsia="Times New Roman" w:hAnsi="Times New Roman"/>
            <w:sz w:val="18"/>
            <w:szCs w:val="18"/>
            <w:color w:val="auto"/>
          </w:rPr>
          <w:t xml:space="preserve"> (excluding Item 2.02 and Exhibits 99.1 and 99.2), </w:t>
        </w:r>
        <w:r>
          <w:rPr>
            <w:rFonts w:ascii="Times New Roman" w:cs="Times New Roman" w:eastAsia="Times New Roman" w:hAnsi="Times New Roman"/>
            <w:sz w:val="18"/>
            <w:szCs w:val="18"/>
            <w:u w:val="single" w:color="auto"/>
            <w:color w:val="0000EE"/>
          </w:rPr>
          <w:t>March 25,</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April 29, 2024</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 xml:space="preserve">May 9, 2024 </w:t>
        </w:r>
      </w:hyperlink>
      <w:hyperlink r:id="rId68">
        <w:r>
          <w:rPr>
            <w:rFonts w:ascii="Times New Roman" w:cs="Times New Roman" w:eastAsia="Times New Roman" w:hAnsi="Times New Roman"/>
            <w:sz w:val="18"/>
            <w:szCs w:val="18"/>
            <w:color w:val="000000"/>
          </w:rPr>
          <w:t>(excluding Item 2.02 and Exhibits 99.1 and 99.2),</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June 20, 2024</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July 1, 2024</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July 26, 2024</w:t>
        </w:r>
      </w:hyperlink>
      <w:hyperlink r:id="rId68">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October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 xml:space="preserve">October 8,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 xml:space="preserve">October 10, 2024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7.01); and</w:t>
      </w:r>
    </w:p>
    <w:p>
      <w:pPr>
        <w:spacing w:after="0" w:line="81"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7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Quarterly Report on Form 10-Q for the quarter ended March 31, 2024, filed with the SEC on May 9, 2024.</w:t>
      </w:r>
    </w:p>
    <w:p>
      <w:pPr>
        <w:spacing w:after="0" w:line="162" w:lineRule="exact"/>
        <w:rPr>
          <w:rFonts w:ascii="Times New Roman" w:cs="Times New Roman" w:eastAsia="Times New Roman" w:hAnsi="Times New Roman"/>
          <w:sz w:val="18"/>
          <w:szCs w:val="18"/>
          <w:color w:val="0000EE"/>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168" w:lineRule="exact"/>
        <w:rPr>
          <w:rFonts w:ascii="Times New Roman" w:cs="Times New Roman" w:eastAsia="Times New Roman" w:hAnsi="Times New Roman"/>
          <w:sz w:val="18"/>
          <w:szCs w:val="18"/>
          <w:color w:val="0000EE"/>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documents incorporated by reference into this prospectus are available without charge to you, upon written request by contacting our Investor Relations department at Investor Relations, LanzaTech Global, Inc., 8045 Lamon Avenue, Suite 400, Skokie, Illinois 60077.</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COMPANY</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LanzaTech is a nature-based carbon refining company that transforms waste carbon into the chemical building blocks for consumer goods such as sustainable fuels, fabrics, and packaging that people use in their daily lives. Using LanzaTech’s process technology, LanzaTech’s partners started up the world’s first commercial carbon refining plant in 2018 in China. Since then, LanzaTech’s partners in China have started up an additional three commercial plants operating in China, one in April 2021, another in September 2022, and the last one in June 2023. Additionally, LanzaTech’s partners have started up a commercial scale plant in India in September 2023 and in Belgium in November 2023. LanzaTech has numerous projects under development and in the pipeline globally. LanzaTech’s technology platform is designed to use a variety of waste feedstocks, from waste industrial gases to biomass residues and municipal solid waste. LanzaTech’s technology platform is designed to capitalize on the demand for sustainable fuels and chemicals, which can be used in multiple sectors such as aviation, automotive, textiles, home goods, consumer goods and others, to address the growing preference among major companies for environmentally conscious products and manufacturing processes.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LanzaTech is incorporated in Delaware and its headquarters are in Skokie, Illinois. LanzaTech is not a company that was formed under the laws of the PRC. However, LanzaTech has business operations in China, several strategic investors located in China, including Sinopec, and a core team of technical, business and administrative professionals at a LanzaTech office in Shanghai, which support the ongoing operations and further growth of the business in China. LanzaTech also holds a minority ownership stake in the Shougang Joint Venture. LanzaTech licenses its technology in China to the Shougang Joint Venture. Entities in which the Shougang Joint Venture holds a controlling interest currently produce low carbon ethanol at three commercial scale facilities using LanzaTech’s process technology, which, in addition to its use as fuel, is transported and processed for use in consumer products. For more information on the Shougang Joint Venture, see the section entitled “</w:t>
      </w:r>
      <w:r>
        <w:rPr>
          <w:rFonts w:ascii="Times New Roman" w:cs="Times New Roman" w:eastAsia="Times New Roman" w:hAnsi="Times New Roman"/>
          <w:sz w:val="18"/>
          <w:szCs w:val="18"/>
          <w:i w:val="1"/>
          <w:iCs w:val="1"/>
          <w:color w:val="auto"/>
        </w:rPr>
        <w:t>Business Overview — Key Collaboration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Shougang Joint Venture</w:t>
      </w:r>
      <w:r>
        <w:rPr>
          <w:rFonts w:ascii="Times New Roman" w:cs="Times New Roman" w:eastAsia="Times New Roman" w:hAnsi="Times New Roman"/>
          <w:sz w:val="18"/>
          <w:szCs w:val="18"/>
          <w:color w:val="auto"/>
        </w:rPr>
        <w:t>” included in Item 1 of our Annual Report on Form 10-K for the year ended December 31, 2023, and the corresponding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prospectus supplement.</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LanzaTech has determined the Shougang Joint Venture to be a VIE for which LanzaTech is not the primary beneficiary. LanzaTech holds its equity interest in the Shougang Joint Venture through its subsidiary, LanzaTech Hong Kong Limited, a limited liability company organized under the laws of Hong Kong. LanzaTech Hong Kong Limited is not a wholly foreign-owned enterprise (“WFOE”) organized under the laws of the PRC. This VIE structure was implemented to effectuate the intellectual property licensing arrangement between LanzaTech and the Shougang Joint Venture and is not used to provide investors with exposure to foreign investment in China-based companies where Chinese law prohibits direct foreign investment in the operating companies.</w:t>
      </w:r>
    </w:p>
    <w:p>
      <w:pPr>
        <w:spacing w:after="0" w:line="18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LanzaTech also has a subsidiary, LanzaTech China Limited, which is a WFOE organized under the laws of the PRC. This subsidiary employs the professionals that work in LanzaTech’s office in Shanghai. LanzaTech China Limited does not hold an equity interest in the Shougang Joint Venture, or in any other VIE in China.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chart illustrates the organizational structure of LanzaTech and its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171450</wp:posOffset>
            </wp:positionV>
            <wp:extent cx="4834890" cy="2134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483489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LanzaTech has entered into a license agreement with the Shougang Joint Venture and a letter agreement with the Shougang Joint Venture and Sinopec. Although LanzaTech has the right to appoint and elect, and currently has appointed and elected, one director to the Shougang Joint Venture’s board of directors, the agreements between LanzaTech, the Shougang Joint Venture and Sinopec do not provide LanzaTech with the power to direct the activities that are most significant to the economic performance of the Shougang Joint Venture. Therefore, LanzaTech does not consolidate the Shougang Joint Venture in its financial statements. LanzaTech may incur substantial costs to enforce the terms of the agreements. LanzaTech may also face challenges enforcing its contractual arrangements with the Shougang Joint Venture due to legal uncertainties and jurisdictional limits.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LanzaTech is incorporated and headquartered in the United States, LanzaTech may still be subject to certain PRC laws due to its business operations in China. LanzaTech faces risks and uncertainties associated with the complex and evolving PRC laws and regulations and as to whether and how the recent PRC government statements and regulatory developments, such as those relating to cross-border data security, anti-monopoly concerns and VIEs, would apply to LanzaTech and its operations. Any application of these statements or regulatory actions to LanzaTech and its operations in the future, including a limitation on or disallowance of the VIE structure by Chinese regulatory authorities, could result in a material change in LanzaTech’s operations and could result in a material change in the value of the shares of the common stock.</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(i) LanzaTech does not receive or maintain any permission or approval required of it, (ii) LanzaTech inadvertently concludes that certain permissions or approvals have been acquired or are not required, or (iii) applicable laws, regulations, or interpretations thereof change and LanzaTech becomes subject to the requirement of additional permissions or approvals in the future, LanzaTech may have to expend significant time and costs to procure them. If LanzaTech is unable to do so, on commercially reasonable terms, in a timely manner or otherwise, LanzaTech may become subject to sanctions imposed by the PRC regulatory authorities, which could include fines and penalties, proceedings against LanzaTech, and other forms of sanctions, and LanzaTech’s business, reputation, financial condition, and results of operations may be materially and adversely affected. For more information, see the risks and uncertainties described under the caption “Risk Factors” beginning on page 12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LanzaTech’s license agreement with the Shougang Joint Venture, the Shougang Joint Venture transfers required payments by wire transfer to LanzaTech, Inc., a wholly owned subsidiary of LanzaTech. As of the date of this prospectus, transfers of cash or other types of assets have been made between the Shougang Joint Venture and LanzaTech and its subsidiaries. The payments made between the Shougang Joint Venture and LanzaTech, Inc. have been in the ordinary course of business and have consisted of payments from LanzaTech, Inc. to the Shougang Joint Venture for the sale of ethanol and payments from the Shougang Joint Venture to LanzaTech, Inc. for sales of microbes, media, consumables and equipment. Payments from LanzaTech, Inc. to the Shougang Joint Venture were approximately $1.9 million and $1.1 million in the fiscal years ended December 31, 2023 and 2022, respectively, and $1.4 million during the six months ended June 30, 2024. No payments were made from LanzaTech, Inc. to the Shougang Joint Venture in the fiscal year ended December 31, 2021. Payments from the Shougang Joint Venture to LanzaTech, Inc. were approximately $0.6 million and $0.3 million in the fiscal years ended December 31, 2023 and 2022, respectively, and $0.3 million during the six months ended June 30, 2024. We did not receive any payments from the Shougang Joint Venture in the fiscal year ended December 31, 2021. LanzaTech has not in the past and does not intend in the future to distribute to its stockholders any amounts that it receives from the Shougang Joint Venture. For more information, see the audited financial statements of LanzaTech incorporated by reference in this prospectus.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restrictions or limitations on</w:t>
      </w:r>
    </w:p>
    <w:p>
      <w:pPr>
        <w:spacing w:after="0" w:line="25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LanzaTech’s ability to transfer cash between entities, across borders, or to U.S.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LanzaTech’s ability to distribute earnings from the company, including its subsidiaries, to the holding company or U.S. investors;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LanzaTech’s ability to settle amounts owed under agreements with the Shougang Joint Venture.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LanzaTech’s auditor, Deloitte &amp; Touche LLP, is not headquartered in mainland China or Hong Kong and therefore is not subject to the determinations announced by the PCAOB on December 16, 2021 regarding the PCAOB’s inability to inspect or investigate registered public accounting firms headquartered in mainland China or Hong Kong. The Holding Foreign Companies Accountable Act and related regulations are not applicable to LanzaTech.</w:t>
      </w:r>
    </w:p>
    <w:p>
      <w:pPr>
        <w:spacing w:after="0" w:line="178"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Additional information about us and our subsidiaries is included in documents incorporated by reference in this prospectus.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1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February 8, 2023 (the “Closing Date”), LanzaTech NZ, Inc. (“Legacy LanzaTech”) and AMCI Acquisition Corp. II (“AMCI”) consummated a business combination pursuant to that certain Merger Agreement dated as of March 8, 2022, as amended on December 7, 2022, by and among Legacy LanzaTech, AMCI and AMCI Merger Sub, Inc. (“Merger Sub”). As contemplated by the Merger Agreement, Merger Sub merged with and into Legacy LanzaTech, with Legacy LanzaTech continuing as the surviving corporation and as a wholly owned subsidiary of AMCI.</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Information</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January 28, 2021, under the name AMCI Acquisition Corp. II, in order to effectuate a merger, capital stock exchange, asset acquisition, stock purchase, reorganization or similar business combination with one or more businesses or entities. AMCI completed its initial public offering on August 6, 2021. On February 8, 2023, AMCI and Legacy LanzaTech consummated the transactions contemplated by the Merger Agreement. On the Closing Date, AMCI changed its name to LanzaTech Global, Inc.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common stock is traded on Nasdaq under the symbol “LNZA.” The mailing address of our principal executive office is 8045 Lamon Avenue, Suite 400, Skokie, Illinois 60077, and our telephone number is (847) 324-2400. Our website address is https://lanzatech.com. The information contained in, or that can be accessed through, our website is not part of this prospectus. We make available free of charge on our website our annual, quarterly and current reports, including amendments to such reports, as soon as reasonably practicable after we electronically file such material with, or furnish such material to,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The prospectus supplement applicable to each offering of our securities will contain a discussion of the risks applicable to an investment in our securities. Before deciding whether to invest in our securities, you should consider carefully the risks described under the heading “Risk Factors” in the applicable prospectus supplement and in any of our filings with the SEC that are incorporated by reference therein.</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our securities offered by this prospectus. Unless we indicate otherwise in the applicable prospectus supplement, we anticipate that any net proceeds will be used for working capital and general corporate purposes, including expenses related to funding research and development expenses for our clinical trials and pre-clinical studies, manufacturing and other costs associated with advancing our product candidates. We will set forth in the applicable prospectus supplement our intended use for the net proceeds received from the sale of any securities sold pursuant to the prospectus supplement. Pending these uses, we intend to invest the net proceeds in short-term U.S. treasury money market mutual funds.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DESCRIPTION OF COMMON STOCK</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shares of our common stock as set forth in the applicable prospectus supplement. The following section describes the material features and rights of our common stock, $0.0001 par value per share, and does not purport to be complete. It is subject to, and qualified in its entirety by reference to, our second amended and restated certificate of incorporation, as amended (the “Charter”) and our Bylaws (the “Bylaws”) and applicable provisions of the Delaware General Corporation Law (“DGCL”). Each of our Charter and Bylaws is incorporated by reference as an exhibit to the registration statement of which this prospectus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w:t>
      </w:r>
    </w:p>
    <w:p>
      <w:pPr>
        <w:spacing w:after="0" w:line="11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620,000,000 shares, consisting of 600,000,000 shares of common stock, $0.0001 par value per share, and 20,000,000 shares of preferred stock, $0.0001 par value per share. As of October 4, 2024, there were 197,782,055 shares of our common stock outstanding. No shares of preferred stock are currently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shares of common stock possess all voting power for the election of LanzaTech’s directors and all other matters requiring stockholder 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shares of common stock are entitled to one vote for each share held on all matters to be voted on by stockholders.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Holders of shares of common stock will be entitled to receive such dividends, if any, as may be declared from time to time by the Board in its discretion out of funds legally available therefor. We do not intend to pay cash dividends on the common stock for the foreseeable future. Any payment of cash dividends in the future will be dependent upon LanzaTech’s revenues and earnings, if any, capital requirements and general financial conditions. In no event will any stock dividends or stock splits or combinations of stock be declared or made on shares of common stock unless the shares of common stock at the time outstanding are treated equally and identically.</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19"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In the event of LanzaTech’s voluntary or involuntary liquidation, dissolution, distribution of assets or winding-up, the holders of shares of common stock will be entitled to receive an equal amount per share of all of LanzaTech’s assets of whatever kind available for distribution to stockholders, after the rights of the holders of the preferred stock have been satisfied.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LanzaTech stockholders have no preemptive or other subscription rights. No sinking fund provisions are applicable to the common stock.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AMCI, certain of the Legacy LanzaTech stockholders and certain AMCI stockholders entered into a registration rights agreement, pursuant to which, among other things, such stockholders were granted certain registration rights with respect to certain shares of securities held by them.</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Listing of 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“LNZA”.</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320" w:top="455" w:right="8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DESCRIPTION OF PREFERRED STOCK</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the Charter, our board of directors has the authority, without stockholder approval, subject to limitations prescribed by law, to provide for the issuance of up to 20,000,000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this prospectus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Anti-Takeover Provisions of Delaware Law and our Charter and Bylaws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Charter and Bylaws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131" w:lineRule="exact"/>
        <w:rPr>
          <w:sz w:val="20"/>
          <w:szCs w:val="20"/>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20,000,000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of LanzaTech may be changed only by resolution of the Board;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13"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all of LanzaTech’s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LanzaTech’s stockholders may be called by the Board pursuant to a resolution adopted by a majority of the Board;</w:t>
      </w:r>
    </w:p>
    <w:p>
      <w:pPr>
        <w:spacing w:after="0" w:line="67" w:lineRule="exact"/>
        <w:rPr>
          <w:rFonts w:ascii="Times New Roman" w:cs="Times New Roman" w:eastAsia="Times New Roman" w:hAnsi="Times New Roman"/>
          <w:sz w:val="18"/>
          <w:szCs w:val="18"/>
          <w:color w:val="auto"/>
        </w:rPr>
      </w:pPr>
    </w:p>
    <w:p>
      <w:pPr>
        <w:jc w:val="both"/>
        <w:ind w:left="1080" w:right="6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will be divided into three classes of directors, with the classes to be as nearly equal as possible, and with the directors serving three-year terms, therefore making it more difficult for stockholders to change the composition of the Board;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Board as well as for another party to obtain control of LanzaTech by replacing the Board. Because the Board has the power to retain and discharge its officers, these provisions could also make it more difficult for existing stockholders or another party to effect a change in management. In addition, the authorization of undesignated preferred stock makes it possible for the Board to issue shares of preferred stock with voting or other rights or preferences that could impede the success of any attempt to change the control of LanzaTech.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LanzaTech’s vulnerability to hostile takeovers and to discourage certain tactics that may be used in proxy fights. However, such provisions could have the effect of discouraging others from making tender offers for LanzaTech’s shares and may have the effect of delaying changes in its control or management. As a consequence, these provisions may also inhibit fluctuations in the market price of LanzaTech’s Common Stock.</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Anti-Takeover Provisions of Delaware Law</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LanzaTech is subject to the provisions of Section 203 of the DGCL, which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a corporation’s assets. However, the above provisions of Section 203 would not apply if:</w:t>
      </w:r>
    </w:p>
    <w:p>
      <w:pPr>
        <w:spacing w:after="0" w:line="67" w:lineRule="exact"/>
        <w:rPr>
          <w:sz w:val="20"/>
          <w:szCs w:val="20"/>
          <w:color w:val="auto"/>
        </w:rPr>
      </w:pPr>
    </w:p>
    <w:p>
      <w:pPr>
        <w:ind w:left="1080" w:right="6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board of directors approves the transaction that made the stockholder an interested stockholder prior to the date of the transaction;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LanzaTech.</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Limitations on Liability and Indemnification of Officers and Directors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LanzaTech or, in criminal proceedings, where the person had no reasonable cause to believe that his or her conduct was unlawful.</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Bylaws provide that we must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lawsuits against directors for breaches of their fiduciary duties. These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 pursuant to these indemnification provisions.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Dissenters’ Rights of Appraisal and Payment</w:t>
      </w:r>
    </w:p>
    <w:p>
      <w:pPr>
        <w:spacing w:after="0" w:line="117"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stockholders will have appraisal rights in connection with a merger or consolidation of LanzaTech.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Derivative Actions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LanzaTech’s name to procure a judgment in LanzaTech’s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DESCRIPTION OF DEBT SECURITIES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debt securities, including debentures, notes, bonds and other evidences of indebtedness as set forth in the applicable prospectus supplement. The debt securities may be either secured or unsecured and will either be senior debt securities or subordinated debt securities. Senior debt securities will be issued under a senior indenture between us and a trustee to be specified in an accompanying prospectus supplement. Subordinated debt securities will be issued under a subordinated indenture between us and a trustee to be specified in an accompanying prospectus supplement. Together, the senior indenture and the subordinated indenture are called indentures in this description. This prospectus, together with the applicable prospectus supplement, will describe the terms of a particular series of debt securities that we may offer from time to time.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of the material provisions of the indentures and the debt securities does not purport to be complete and is subject to, and is qualified in its entirety by reference to, the provisions of the applicable indenture and certificates evidencing the applicable debt securities. Therefore, you should carefully consider the applicable indenture and the certificate evidencing the applicable debt security that is filed as an exhibit to the registration statement that includes this prospectus.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 In this description of the debt securities, the words “LanzaTech,” “we,” “us” or “our” refer only to LanzaTech Global, Inc. and not to our subsidiary, unless we otherwise expressly state or the context otherwise requires.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w:t>
      </w:r>
    </w:p>
    <w:p>
      <w:pPr>
        <w:spacing w:after="0" w:line="11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Debt securities may be issued in separate series without limitation as to aggregate principal amount. We may specify a maximum aggregate principal amount for the debt securities of any series.</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are not limited as to the amount of debt securities that we may issue under the indentures. Unless otherwise provided in a prospectus supplement, a series of debt securities may be reopened to issue additional debt securities of such series.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debt securities will set forth the material terms of the debt securities being offered, including: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debt securities or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will be entitled to receive interest, if other than the record holder on the record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which may be fixed or variable, at which the debt securities will bear interest, or the method of determining such rate or rates;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interest will accrue, the interest payment dates and the regular record dates, or the method for calculating the dates and rates;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of principal and interest may be made;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 or sinking fund provisions and any applicable redemption or purchase prices associated with these provisions;</w:t>
      </w:r>
    </w:p>
    <w:p>
      <w:pPr>
        <w:spacing w:after="0" w:line="67" w:lineRule="exact"/>
        <w:rPr>
          <w:rFonts w:ascii="Times New Roman" w:cs="Times New Roman" w:eastAsia="Times New Roman" w:hAnsi="Times New Roman"/>
          <w:sz w:val="18"/>
          <w:szCs w:val="18"/>
          <w:color w:val="auto"/>
        </w:rPr>
      </w:pPr>
    </w:p>
    <w:p>
      <w:pPr>
        <w:ind w:left="5540" w:right="6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other than in denominations of $1,000 or any multiple of $1,000, the denominations in which the debt securities shall be issuable; 20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whether we or a holder may elect payment to be made in a different currency and the designation of the original currency determination agent;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maturity, if other than the entire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applicable to the subordinated debt securities if different from those described below under “Subordinated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the debt securities, if other than the trustee;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acceleration provisions or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guaranties for the securities and any circumstances under which there may be additional obligors;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federal income tax considerations, specific terms and other information with respect to that issue of debt securities and the foreign currency or currencies.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 The U.S. federal income tax considerations applicable to debt securities sold at a discount will be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and Transfer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any partial redemption of debt securities of any series, we will not be required to:</w:t>
      </w:r>
    </w:p>
    <w:p>
      <w:pPr>
        <w:spacing w:after="0" w:line="131" w:lineRule="exact"/>
        <w:rPr>
          <w:sz w:val="20"/>
          <w:szCs w:val="20"/>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Under any indenture, we will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Conversion or Exchange</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securities being offered are convertible into or exchangeable for our common stock or other securities, the relevant prospectus supplement will set forth the terms of conversion or exchange. Those terms will include whether conversion or exchange is mandatory, at the option of the holder or at our option, and the number of shares of common stock or other securities, or the method of determining the number of shares of common stock or other securities, to be received by the holder upon conversion or exchange. These provisions may allow or require the number of shares of our common stock or other securities to be received by the holders of such series of debt securities to be adjusted.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Global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the debt securities of the applicable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have the debt securities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physical delivery of certificated debt securities; or</w:t>
      </w:r>
    </w:p>
    <w:p>
      <w:pPr>
        <w:spacing w:after="0" w:line="130" w:lineRule="exact"/>
        <w:rPr>
          <w:rFonts w:ascii="Times New Roman" w:cs="Times New Roman" w:eastAsia="Times New Roman" w:hAnsi="Times New Roman"/>
          <w:sz w:val="18"/>
          <w:szCs w:val="18"/>
          <w:color w:val="auto"/>
        </w:rPr>
      </w:pPr>
    </w:p>
    <w:p>
      <w:pPr>
        <w:ind w:left="5540" w:right="5020" w:hanging="4884"/>
        <w:spacing w:after="0" w:line="367" w:lineRule="auto"/>
        <w:tabs>
          <w:tab w:leader="none" w:pos="109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considered to be holders of those debt securities under the indenture. 22</w:t>
      </w:r>
    </w:p>
    <w:p>
      <w:pPr>
        <w:sectPr>
          <w:pgSz w:w="11900" w:h="16838" w:orient="portrait"/>
          <w:cols w:equalWidth="0" w:num="1">
            <w:col w:w="11040"/>
          </w:cols>
          <w:pgMar w:left="320" w:top="455"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and Paying Agents</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ending the earlier of:</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prior to the date the money would be turned over to the applicable state;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two years after such payment was due, will be repaid to us thereafter.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 may look only to us for such payment.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Protection in the Event of a Change of Control</w:t>
      </w:r>
    </w:p>
    <w:p>
      <w:pPr>
        <w:spacing w:after="0" w:line="1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Covenants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financial or restrictive covenants.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Consolidation, Merger and Sale of Assets</w:t>
      </w:r>
    </w:p>
    <w:p>
      <w:pPr>
        <w:spacing w:after="0" w:line="11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we may not consolidate with or merge into any other person, in a transaction in which we are not the surviving corporation, or convey, transfer or lease our properties and assets substantially as an entirety to, any entity, unless:</w:t>
      </w:r>
    </w:p>
    <w:p>
      <w:pPr>
        <w:spacing w:after="0" w:line="81" w:lineRule="exact"/>
        <w:rPr>
          <w:sz w:val="20"/>
          <w:szCs w:val="20"/>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corporation, limited liability company, partnership, trust or other business entity existing under the laws of the United States, any State within the United States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debt securities and under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specified in the indenture are met. Events of Default</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the following will be events of default for any series of debt securities under the indentures:</w:t>
      </w:r>
    </w:p>
    <w:p>
      <w:pPr>
        <w:spacing w:after="0" w:line="67" w:lineRule="exact"/>
        <w:rPr>
          <w:sz w:val="20"/>
          <w:szCs w:val="20"/>
          <w:color w:val="auto"/>
        </w:rPr>
      </w:pPr>
    </w:p>
    <w:p>
      <w:pPr>
        <w:ind w:left="1080" w:right="40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on any debt security of that series when it becomes due and we subsequently fail to pay such interest for 30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principal of or any premium on any debt security of that series when due;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deposit any sinking fund payment when due;</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other covenant in the applicable indenture and such failure continues for 90 days after we are given the notice required in the indentures;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including our bankruptcy, insolvency or reorganization.</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without any declaration or other action on the part of the trustee or any holder. Any payment by us on the subordinated debt securities following any such acceleration will be subject to the subordination provisions described below under “Subordinated Debt Securities.”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67"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with respect to senior debt securities, and a majority, with respect to subordinated debt securities, in aggregate principal amount of the outstanding debt securities of that series have made a written request and have offered reasonable indemnity to the trustee to institute the proceeding;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62"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clauses (1) through (3) above.</w:t>
      </w:r>
    </w:p>
    <w:p>
      <w:pPr>
        <w:spacing w:after="0" w:line="14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will furnish the trustee an annual statement by our officers as to whether or not we are in default in the performance of the conditions and covenants under the indenture and, if so, specifying all known defaults.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Modification and Waiver</w:t>
      </w:r>
    </w:p>
    <w:p>
      <w:pPr>
        <w:spacing w:after="0" w:line="11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we and the applicable trustee may make modifications and amendments to an indenture with the consent of the holders of a majority in aggregate principal amount of the outstanding securities of each series affected by the modification or amendment.</w:t>
      </w:r>
    </w:p>
    <w:p>
      <w:pPr>
        <w:spacing w:after="0" w:line="176"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may also make modifications and amendments to the indentures for the benefit of holders without their consent, for certain purposes including, but not limited to:</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our successor to assume the covenants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covenants or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changes to facilitate the issuance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securities, including provisions relating to the release or substitution of collateral;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guaranties of, or additional obligors on,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trustee or additional trustees;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ambiguities or inconsistencies;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or facilitating the defeasance and discharge of the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specified in the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modification or amendment without the consent of the holder of each outstanding security of that series affected by the modification or amendment if such modification or amendment would:</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or any other debt security payable on acceleration of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currency in which any debt security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subordinated debt securities, modify the subordination provisions in a materially adverse manner to the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any debt security if the debt security is a convertible debt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indenture.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subject to limited exceptions, of any series that have matured or will mature or be redeemed within one year if we deposit enough money with the trustee to pay all of the principal, interest and any premium due to the stated maturity date or redemption date of the debt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 either or both of the following:</w:t>
      </w:r>
    </w:p>
    <w:p>
      <w:pPr>
        <w:spacing w:after="0" w:line="131" w:lineRule="exact"/>
        <w:rPr>
          <w:sz w:val="20"/>
          <w:szCs w:val="20"/>
          <w:color w:val="auto"/>
        </w:rPr>
      </w:pPr>
    </w:p>
    <w:p>
      <w:pPr>
        <w:ind w:left="1080" w:right="180" w:hanging="532"/>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85"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“Foreign government obligations” means, with respect to debt securities of any series that are denominated in a currency other than United States dollars:</w:t>
      </w:r>
    </w:p>
    <w:p>
      <w:pPr>
        <w:spacing w:after="0" w:line="67" w:lineRule="exact"/>
        <w:rPr>
          <w:sz w:val="20"/>
          <w:szCs w:val="20"/>
          <w:color w:val="auto"/>
        </w:rPr>
      </w:pPr>
    </w:p>
    <w:p>
      <w:pPr>
        <w:ind w:left="1080" w:right="1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certain members of the European Union for the payment of which obligations the full faith and credit of such members is pledged, which in each case are not callable or redeemable at the option of the issuer thereof;</w:t>
      </w:r>
    </w:p>
    <w:p>
      <w:pPr>
        <w:spacing w:after="0" w:line="67" w:lineRule="exact"/>
        <w:rPr>
          <w:sz w:val="20"/>
          <w:szCs w:val="20"/>
          <w:color w:val="auto"/>
        </w:rPr>
      </w:pPr>
    </w:p>
    <w:p>
      <w:pPr>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depository receipt issued by a bank as custodian with respect to any obligation specified in the first two bullet points and held by such bank for the account of the holder of such deposit any receipt, or with respect to any such obligation which is so specified and held.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laws of the State of New York.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Shareholders</w:t>
      </w:r>
    </w:p>
    <w:p>
      <w:pPr>
        <w:spacing w:after="0" w:line="117"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No incorporator, shareholder,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Regarding the Trustee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prospectus supplement will specify the trustee for the particular series of debt securities to be issued under the indentures.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Subordinated Debt Securities</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of any series is subordinated, to the extent provided in the subordinated indenture and the applicable prospectus supplement, to the prior payment in full, of all senior debt, including any senior debt securities, in cash or other payment satisfactory to the holders of senior debt.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subordinated indenture, we may also not make payment on the subordinated debt securities if:</w:t>
      </w:r>
    </w:p>
    <w:p>
      <w:pPr>
        <w:spacing w:after="0" w:line="131" w:lineRule="exact"/>
        <w:rPr>
          <w:sz w:val="20"/>
          <w:szCs w:val="20"/>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nonpayment default occurs and is continuing with respect to designated senior debt that permits holders of designated senior debt to accelerate its maturity, and the trustee receives a payment blockage notice from us or some other person permitted to give the notice under the subordinated indenture, which we refer to as a non-payment default.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and shall resume payments on the subordinated debt securities: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payment default, when the default is cured or waived or ceases to exist;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the earlier of when the default is cured or waived or ceases to exist or 179 days after the receipt of the payment blockage notice.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 new payment blockage period may start on the basis of a nonpayment default unless at least 365 days have elapsed from the initial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subordination provisions will not apply to payments from money or government obligations held in trust by the trustee for the payment of principal, interest and premium, if any, on subordinated debt securities pursuant to the provisions described under “Satisfaction and Discharge; Defeasance,” if the subordination provisions were not violated at the time the money or government obligations were deposited into trust.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debt securities will constitute senior debt under the subordinated indenture.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or different subordination provisions may be described in a prospectus supplement relating to a particular series of debt securities.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Definitions</w:t>
      </w:r>
    </w:p>
    <w:p>
      <w:pPr>
        <w:spacing w:after="0" w:line="11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senior debt</w:t>
      </w:r>
      <w:r>
        <w:rPr>
          <w:rFonts w:ascii="Times New Roman" w:cs="Times New Roman" w:eastAsia="Times New Roman" w:hAnsi="Times New Roman"/>
          <w:sz w:val="18"/>
          <w:szCs w:val="18"/>
          <w:color w:val="auto"/>
        </w:rPr>
        <w: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80"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the following, whether absolute or contingent, secured or unsecured, due or to become due, outstanding on the date of the indenture for such series of securities or thereafter created, incurred or assumed:</w:t>
      </w:r>
    </w:p>
    <w:p>
      <w:pPr>
        <w:spacing w:after="0" w:line="66"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evidenced by a credit or loan agreement, note, bond, debenture or other written obligation;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borrowed money;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evidenced by a note or similar instrument given in connection with the acquisition of any businesses, properties or assets of any kind,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lessee under leases required to be capitalized on the balance sheet of the lessee under generally accepted accounting principles, or</w:t>
      </w:r>
    </w:p>
    <w:p>
      <w:pPr>
        <w:spacing w:after="0" w:line="142" w:lineRule="exact"/>
        <w:rPr>
          <w:rFonts w:ascii="Times New Roman" w:cs="Times New Roman" w:eastAsia="Times New Roman" w:hAnsi="Times New Roman"/>
          <w:sz w:val="17"/>
          <w:szCs w:val="17"/>
          <w:color w:val="auto"/>
        </w:rPr>
      </w:pPr>
    </w:p>
    <w:p>
      <w:pPr>
        <w:ind w:left="1540" w:right="220" w:hanging="331"/>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other leases for facilities, capital equipment or related assets, whether or not capitalized, entered into or leased for financing purposes;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interest rate and currency swaps, caps, floors, collars, hedge agreements, forward contracts or similar agreements or arrangements;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with respect to letters of credit, bankers’ acceptances and similar facilities, including reimbursement obligations with respect to the foregoing;</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above clauses of another person and all dividends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60"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means the principal of, premium, if any, and interest, including all interest accruing subsequent to the commencement of any bankruptcy or similar proceeding, whether or not a claim for post-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petition interest is allowable as a claim in any such proceeding, on, and all fees and other amounts payable in connection with, our indebtedness. Senior debt shall not include:</w:t>
      </w:r>
    </w:p>
    <w:p>
      <w:pPr>
        <w:spacing w:after="0" w:line="67" w:lineRule="exact"/>
        <w:rPr>
          <w:sz w:val="20"/>
          <w:szCs w:val="20"/>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obligation if its terms or the terms of the instrument under which or pursuant to which it is issued expressly provide it shall not be senior in right of payment to the subordinated debt securities or expressly provide that such indebtedness is on the same basis or “junior” to the subordinated debt securities;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any of our subsidiaries.</w:t>
      </w:r>
    </w:p>
    <w:p>
      <w:pPr>
        <w:spacing w:after="0" w:line="22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 entity more than 50% of the outstanding voting stock of which is owned, directly or indirectly, by us or by one or more of our other subsidiaries or by a combination of us and our other subsidiaries. For purposes of this definition, “voting stock” means stock or other similar interests to us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Considerations Relating to Foreign Currencies</w:t>
      </w:r>
    </w:p>
    <w:p>
      <w:pPr>
        <w:spacing w:after="0" w:line="119" w:lineRule="exact"/>
        <w:rPr>
          <w:sz w:val="20"/>
          <w:szCs w:val="20"/>
          <w:color w:val="auto"/>
        </w:rPr>
      </w:pPr>
    </w:p>
    <w:p>
      <w:pPr>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described in the applicable prospectus supplement.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DESCRIPTION OF WARRANTS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warrants that we may offer under this prospectus.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securities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by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Enforceability of Rights by Holders of Warrants</w:t>
      </w:r>
    </w:p>
    <w:p>
      <w:pPr>
        <w:spacing w:after="0" w:line="11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DESCRIPTION OF SUBSCRIPTION RIGHTS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or preferred stock.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any offering of subscription rights will include specific terms relating to the offering, including:</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offered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shares of common stock or preferred stock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subscription rights shall commence and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that we may enter into in connection with the offering of subscription rights.</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preceding summary of the terms of the subscription rights does not purport to be complete and is subject to, and is qualified in its entirety by reference to, the terms of the subscription rights being offered, as well as any applicable subscription rights certificate and the terms of the securities to which the subscription rights relate. Therefore, you should carefully consider the actual provisions of the subscription right, and subscription agreement and the applicable securities.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DESCRIPTION OF UNITS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spacing w:after="0" w:line="8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each type and series of securities offered, the applicable prospectus supplement will set forth the terms of the offering, including, without limitation:</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 and the amount of securities underwritten or purchased by each of them,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from the sale of securities to us and the use of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agency fees or other compensation payable to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repaid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offering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the securities will be listed, if any.</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Underwriters or agents may make sales in privately negotiated transactions and/or any other method permitted by law, including sales deemed to be an “at-the-market” offering as defined in Rule 415 under the Securities Act, which includes sales made directly on Nasdaq, the existing trading market for our common stock, or sales made to or through a market maker other than on an exchange.</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Through Underwriters, Dealers or Agents; Direct Sales</w:t>
      </w:r>
    </w:p>
    <w:p>
      <w:pPr>
        <w:spacing w:after="0" w:line="11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we use underwriters in any sale of securities offered under this prospectus, the underwriters will buy the securities for their own account, including through underwriting, purchase, security lending or repurchase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w:t>
      </w:r>
    </w:p>
    <w:p>
      <w:pPr>
        <w:spacing w:after="0" w:line="16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offered under this prospectus are sold directly, no underwriters, dealers or agents would be involved.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sell securities through dealers or agents, or directly, the terms of any such sales will be described in the applicable prospectus supplement.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Delayed Delivery Contracts</w:t>
      </w:r>
    </w:p>
    <w:p>
      <w:pPr>
        <w:spacing w:after="0" w:line="11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Making, Stabilization and Other Transactions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issue of a new series of securities, other than issuances of our common stock, will not have an established trading market, except as indicated in the applicable prospectus supplement.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 securities or preventing or delaying a decline in the market price of our securities. As a result, the market price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securities may be higher than it otherwise would be in the absence of these transactions. The underwriters are not required to engage in these activities, and may end any of these activities at any time, all as described in the applicable prospectus supplement.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 may affect the marketability of the securities offered under this prospectus and the ability of any person or entity to engage in market-making activities with respect to such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Derivative Transactions and Hedging</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 Auctions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which we will provide in a prospectus supplement.</w:t>
      </w:r>
    </w:p>
    <w:p>
      <w:pPr>
        <w:spacing w:after="0" w:line="18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w:t>
      </w:r>
    </w:p>
    <w:p>
      <w:pPr>
        <w:spacing w:after="0" w:line="16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specific terms of any lock-up provisions with respect to any given offering will be described in the applicable prospectus supplement.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320" w:top="455" w:right="5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LEGAL MATTERS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Washington, D.C. If legal matters are passed upon by counsel for the underwriters, dealers or agents, if any, such counsel will be named in the prospectus supplement relating to such offering.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EXPERTS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LanzaTech Global, Inc. as of December 31, 2023 and 2022, and for each of the two years in the period ended December 31, 2023, incorporated by reference in this prospectus, and the effectiveness of LanzaTech Global, Inc.’s internal control over financial reporting as of December 31, 2023, have been audited by Deloitte &amp; Touche LLP, an independent registered public accounting firm, as stated in their reports which express an unqualified opinion on the financial statements and an adverse opinion on the effectiveness of LanzaTech Global, Inc.’s internal control over financial reporting as of December 31, 2023. Such financial statements are incorporated by reference in reliance upon the reports of such firm given their authority as experts in accounting and auditing.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652780</wp:posOffset>
            </wp:positionV>
            <wp:extent cx="181737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1817370" cy="27432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42"/>
          <w:szCs w:val="42"/>
          <w:b w:val="1"/>
          <w:bCs w:val="1"/>
          <w:color w:val="auto"/>
        </w:rPr>
        <w:t>LanzaTech Global, Inc.</w:t>
      </w:r>
    </w:p>
    <w:p>
      <w:pPr>
        <w:spacing w:after="0" w:line="200" w:lineRule="exact"/>
        <w:rPr>
          <w:sz w:val="20"/>
          <w:szCs w:val="20"/>
          <w:color w:val="auto"/>
        </w:rPr>
      </w:pPr>
    </w:p>
    <w:p>
      <w:pPr>
        <w:spacing w:after="0" w:line="26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8"/>
          <w:szCs w:val="28"/>
          <w:b w:val="1"/>
          <w:bCs w:val="1"/>
          <w:color w:val="auto"/>
        </w:rPr>
        <w:t>2,000,000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2202815</wp:posOffset>
            </wp:positionV>
            <wp:extent cx="1474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966470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332105</wp:posOffset>
            </wp:positionV>
            <wp:extent cx="156019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15601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508635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jpe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jpe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jpe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jpeg"/><Relationship Id="rId121" Type="http://schemas.openxmlformats.org/officeDocument/2006/relationships/image" Target="media/image92.png"/><Relationship Id="rId122" Type="http://schemas.openxmlformats.org/officeDocument/2006/relationships/image" Target="media/image93.png"/><Relationship Id="rId43" Type="http://schemas.openxmlformats.org/officeDocument/2006/relationships/hyperlink" Target="http://www.sec.gov/ix?doc=/Archives/edgar/data/0001843724/000162828026022505/lnza-20251231.htm" TargetMode="External"/><Relationship Id="rId44" Type="http://schemas.openxmlformats.org/officeDocument/2006/relationships/hyperlink" Target="http://www.sec.gov/ix?doc=/Archives/edgar/data/0001843724/000162828026034773/lnza-20260331.htm" TargetMode="External"/><Relationship Id="rId45" Type="http://schemas.openxmlformats.org/officeDocument/2006/relationships/hyperlink" Target="http://www.sec.gov/ix?doc=/Archives/edgar/data/0001843724/000153949726001238/n5847_x1-def14a.htm" TargetMode="External"/><Relationship Id="rId46" Type="http://schemas.openxmlformats.org/officeDocument/2006/relationships/hyperlink" Target="http://www.sec.gov/ix?doc=/Archives/edgar/data/0001843724/000162828026009171/amci-20260211.htm" TargetMode="External"/><Relationship Id="rId47" Type="http://schemas.openxmlformats.org/officeDocument/2006/relationships/hyperlink" Target="http://www.sec.gov/ix?doc=/Archives/edgar/data/0001843724/000162828026025564/amci-20260410.htm" TargetMode="External"/><Relationship Id="rId48" Type="http://schemas.openxmlformats.org/officeDocument/2006/relationships/hyperlink" Target="http://www.sec.gov/ix?doc=/Archives/edgar/data/0001843724/000162828026025865/amci-20260410.htm" TargetMode="External"/><Relationship Id="rId49" Type="http://schemas.openxmlformats.org/officeDocument/2006/relationships/hyperlink" Target="http://www.sec.gov/Archives/edgar/data/1843724/000162828026022505/ex414-descriptionofsecur.htm" TargetMode="External"/><Relationship Id="rId64" Type="http://schemas.openxmlformats.org/officeDocument/2006/relationships/hyperlink" Target="http://www.sec.gov/ix?doc=/Archives/edgar/data/1843724/000162828024008069/lnza-20231231.htm" TargetMode="External"/><Relationship Id="rId65" Type="http://schemas.openxmlformats.org/officeDocument/2006/relationships/hyperlink" Target="http://www.sec.gov/Archives/edgar/data/1843724/000139843224000009/a51665.htm" TargetMode="External"/><Relationship Id="rId66" Type="http://schemas.openxmlformats.org/officeDocument/2006/relationships/hyperlink" Target="http://www.sec.gov/ix?doc=/Archives/edgar/data/1843724/000162828024021946/lnza-20240331.htm" TargetMode="External"/><Relationship Id="rId67" Type="http://schemas.openxmlformats.org/officeDocument/2006/relationships/hyperlink" Target="http://www.sec.gov/ix?doc=/Archives/edgar/data/1843724/000162828024035831/lnza-20240630.htm" TargetMode="External"/><Relationship Id="rId68" Type="http://schemas.openxmlformats.org/officeDocument/2006/relationships/hyperlink" Target="http://www.sec.gov/ix?doc=/Archives/edgar/data/1843724/000162828024012816/amci-20240325.htm" TargetMode="External"/><Relationship Id="rId69" Type="http://schemas.openxmlformats.org/officeDocument/2006/relationships/hyperlink" Target="http://www.sec.gov/ix?doc=/Archives/edgar/data/1843724/000162828024019041/amci-20240429.htm" TargetMode="External"/><Relationship Id="rId70" Type="http://schemas.openxmlformats.org/officeDocument/2006/relationships/hyperlink" Target="http://www.sec.gov/ix?doc=/Archives/edgar/data/1843724/000162828024021942/amci-20240509.htm" TargetMode="External"/><Relationship Id="rId71" Type="http://schemas.openxmlformats.org/officeDocument/2006/relationships/hyperlink" Target="http://www.sec.gov/ix?doc=/Archives/edgar/data/1843724/000162828024029011/amci-20240620.htm" TargetMode="External"/><Relationship Id="rId72" Type="http://schemas.openxmlformats.org/officeDocument/2006/relationships/hyperlink" Target="http://www.sec.gov/ix?doc=/Archives/edgar/data/1843724/000162828024030526/amci-20240628.htm" TargetMode="External"/><Relationship Id="rId73" Type="http://schemas.openxmlformats.org/officeDocument/2006/relationships/hyperlink" Target="http://www.sec.gov/ix?doc=/Archives/edgar/data/1843724/000162828024033182/amci-20240722.htm" TargetMode="External"/><Relationship Id="rId74" Type="http://schemas.openxmlformats.org/officeDocument/2006/relationships/hyperlink" Target="http://www.sec.gov/ix?doc=/Archives/edgar/data/1843724/000162828024035824/amci-20240808.htm" TargetMode="External"/><Relationship Id="rId75" Type="http://schemas.openxmlformats.org/officeDocument/2006/relationships/hyperlink" Target="http://www.sec.gov/ix?doc=/Archives/edgar/data/1843724/000162828024041648/amci-20241001.htm" TargetMode="External"/><Relationship Id="rId76" Type="http://schemas.openxmlformats.org/officeDocument/2006/relationships/hyperlink" Target="http://www.sec.gov/ix?doc=/Archives/edgar/data/0001843724/000162828024042551/amci-20241002.htm" TargetMode="External"/><Relationship Id="rId77" Type="http://schemas.openxmlformats.org/officeDocument/2006/relationships/hyperlink" Target="http://www.sec.gov/ix?doc=/Archives/edgar/data/0001843724/000162828024042632/amci-20241004.htm" TargetMode="External"/><Relationship Id="rId78" Type="http://schemas.openxmlformats.org/officeDocument/2006/relationships/hyperlink" Target="http://www.sec.gov/Archives/edgar/data/1843724/000162828024021946/lnza-ex41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2026-05-18T06:03:15Z</dcterms:created>
  <dcterms:modified xsi:type="dcterms:W3CDTF">2026-05-18T06:03:15Z</dcterms:modified>
</cp:coreProperties>
</file>